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TEGNA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87901J105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87901J105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30-0447847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9,979,132**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10,310,763**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10,310,763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6.2%</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20" w:right="8300" w:hanging="407"/>
        <w:spacing w:after="0" w:line="286" w:lineRule="auto"/>
        <w:tabs>
          <w:tab w:leader="none" w:pos="13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TEGNA Inc</w:t>
      </w:r>
    </w:p>
    <w:p>
      <w:pPr>
        <w:spacing w:after="0" w:line="45" w:lineRule="exact"/>
        <w:rPr>
          <w:rFonts w:ascii="Times New Roman" w:cs="Times New Roman" w:eastAsia="Times New Roman" w:hAnsi="Times New Roman"/>
          <w:sz w:val="21"/>
          <w:szCs w:val="21"/>
          <w:b w:val="1"/>
          <w:bCs w:val="1"/>
          <w:color w:val="auto"/>
        </w:rPr>
      </w:pPr>
    </w:p>
    <w:p>
      <w:pPr>
        <w:ind w:left="1320" w:right="5400" w:hanging="407"/>
        <w:spacing w:after="0" w:line="286" w:lineRule="auto"/>
        <w:tabs>
          <w:tab w:leader="none" w:pos="13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7950 Jones Branch Drive, McLean, VA 22107</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320" w:right="696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Dimensional Fund Advisors LP</w:t>
      </w:r>
    </w:p>
    <w:p>
      <w:pPr>
        <w:spacing w:after="0" w:line="45" w:lineRule="exact"/>
        <w:rPr>
          <w:rFonts w:ascii="Times New Roman" w:cs="Times New Roman" w:eastAsia="Times New Roman" w:hAnsi="Times New Roman"/>
          <w:sz w:val="21"/>
          <w:szCs w:val="21"/>
          <w:b w:val="1"/>
          <w:bCs w:val="1"/>
          <w:color w:val="auto"/>
        </w:rPr>
      </w:pPr>
    </w:p>
    <w:p>
      <w:pPr>
        <w:ind w:left="1320" w:right="430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6300 Bee Cave Road, Building One, Austin, TX 78746</w:t>
      </w:r>
    </w:p>
    <w:p>
      <w:pPr>
        <w:spacing w:after="0" w:line="45" w:lineRule="exact"/>
        <w:rPr>
          <w:rFonts w:ascii="Times New Roman" w:cs="Times New Roman" w:eastAsia="Times New Roman" w:hAnsi="Times New Roman"/>
          <w:sz w:val="21"/>
          <w:szCs w:val="21"/>
          <w:b w:val="1"/>
          <w:bCs w:val="1"/>
          <w:color w:val="auto"/>
        </w:rPr>
      </w:pPr>
    </w:p>
    <w:p>
      <w:pPr>
        <w:ind w:left="1320" w:hanging="407"/>
        <w:spacing w:after="0"/>
        <w:tabs>
          <w:tab w:leader="none" w:pos="13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3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Delaware Limited Partnership</w:t>
      </w:r>
    </w:p>
    <w:p>
      <w:pPr>
        <w:spacing w:after="0" w:line="97" w:lineRule="exact"/>
        <w:rPr>
          <w:rFonts w:ascii="Times New Roman" w:cs="Times New Roman" w:eastAsia="Times New Roman" w:hAnsi="Times New Roman"/>
          <w:sz w:val="22"/>
          <w:szCs w:val="22"/>
          <w:b w:val="1"/>
          <w:bCs w:val="1"/>
          <w:color w:val="auto"/>
        </w:rPr>
      </w:pPr>
    </w:p>
    <w:p>
      <w:pPr>
        <w:ind w:left="1320" w:right="7300" w:hanging="407"/>
        <w:spacing w:after="0" w:line="262" w:lineRule="auto"/>
        <w:tabs>
          <w:tab w:leader="none" w:pos="13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320" w:right="824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87901J105</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pacing w:after="0" w:line="129" w:lineRule="exact"/>
        <w:rPr>
          <w:sz w:val="20"/>
          <w:szCs w:val="20"/>
          <w:color w:val="auto"/>
        </w:rPr>
      </w:pPr>
    </w:p>
    <w:p>
      <w:pPr>
        <w:ind w:left="920"/>
        <w:spacing w:after="0"/>
        <w:tabs>
          <w:tab w:leader="none" w:pos="1760" w:val="left"/>
        </w:tabs>
        <w:rPr>
          <w:sz w:val="20"/>
          <w:szCs w:val="20"/>
          <w:color w:val="auto"/>
        </w:rPr>
      </w:pPr>
      <w:r>
        <w:rPr>
          <w:rFonts w:ascii="Times New Roman" w:cs="Times New Roman" w:eastAsia="Times New Roman" w:hAnsi="Times New Roman"/>
          <w:sz w:val="22"/>
          <w:szCs w:val="22"/>
          <w:color w:val="auto"/>
        </w:rPr>
        <w:t>(a)  [ ]</w:t>
      </w:r>
      <w:r>
        <w:rPr>
          <w:sz w:val="20"/>
          <w:szCs w:val="20"/>
          <w:color w:val="auto"/>
        </w:rPr>
        <w:tab/>
      </w:r>
      <w:r>
        <w:rPr>
          <w:rFonts w:ascii="Times New Roman" w:cs="Times New Roman" w:eastAsia="Times New Roman" w:hAnsi="Times New Roman"/>
          <w:sz w:val="21"/>
          <w:szCs w:val="21"/>
          <w:color w:val="auto"/>
        </w:rPr>
        <w:t>Broker or dealer registered under Section 15 of the Act (15 U.S.C. 78o).</w:t>
      </w:r>
    </w:p>
    <w:p>
      <w:pPr>
        <w:sectPr>
          <w:pgSz w:w="11900" w:h="16838" w:orient="portrait"/>
          <w:cols w:equalWidth="0" w:num="1">
            <w:col w:w="11020"/>
          </w:cols>
          <w:pgMar w:left="400" w:top="419" w:right="479" w:bottom="0" w:gutter="0" w:footer="0" w:header="0"/>
        </w:sectPr>
      </w:pPr>
    </w:p>
    <w:p>
      <w:pPr>
        <w:spacing w:after="0" w:line="125" w:lineRule="exact"/>
        <w:rPr>
          <w:sz w:val="20"/>
          <w:szCs w:val="20"/>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w:t>
      </w:r>
    </w:p>
    <w:p>
      <w:pPr>
        <w:spacing w:after="0" w:line="136" w:lineRule="exact"/>
        <w:rPr>
          <w:rFonts w:ascii="Times New Roman" w:cs="Times New Roman" w:eastAsia="Times New Roman" w:hAnsi="Times New Roman"/>
          <w:sz w:val="21"/>
          <w:szCs w:val="21"/>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108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1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121" w:lineRule="exact"/>
        <w:rPr>
          <w:sz w:val="20"/>
          <w:szCs w:val="20"/>
          <w:color w:val="auto"/>
        </w:rPr>
      </w:pPr>
    </w:p>
    <w:p>
      <w:pPr>
        <w:sectPr>
          <w:pgSz w:w="11900" w:h="16838" w:orient="portrait"/>
          <w:cols w:equalWidth="0" w:num="2">
            <w:col w:w="1620" w:space="160"/>
            <w:col w:w="9240"/>
          </w:cols>
          <w:pgMar w:left="400" w:top="419" w:right="47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10,310,763 ** see Note 1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6.2%</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79"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1780" w:right="780" w:hanging="462"/>
        <w:spacing w:after="0" w:line="185" w:lineRule="auto"/>
        <w:tabs>
          <w:tab w:leader="none" w:pos="178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9,979,132** see Note 1 **</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10,310,763** see Note 1 **</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5960" w:space="280"/>
            <w:col w:w="4780"/>
          </w:cols>
          <w:pgMar w:left="400" w:top="419" w:right="479" w:bottom="0" w:gutter="0" w:footer="0" w:header="0"/>
          <w:type w:val="continuous"/>
        </w:sectPr>
      </w:pPr>
    </w:p>
    <w:p>
      <w:pPr>
        <w:ind w:right="20" w:firstLine="9"/>
        <w:spacing w:after="0" w:line="249" w:lineRule="auto"/>
        <w:tabs>
          <w:tab w:leader="none" w:pos="27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100"/>
        <w:spacing w:after="0" w:line="238" w:lineRule="auto"/>
        <w:rPr>
          <w:sz w:val="20"/>
          <w:szCs w:val="20"/>
          <w:color w:val="auto"/>
        </w:rPr>
      </w:pPr>
      <w:r>
        <w:rPr>
          <w:rFonts w:ascii="Times New Roman" w:cs="Times New Roman" w:eastAsia="Times New Roman" w:hAnsi="Times New Roman"/>
          <w:sz w:val="22"/>
          <w:szCs w:val="22"/>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5" w:lineRule="exact"/>
        <w:rPr>
          <w:sz w:val="20"/>
          <w:szCs w:val="20"/>
          <w:color w:val="auto"/>
        </w:rPr>
      </w:pPr>
    </w:p>
    <w:p>
      <w:pPr>
        <w:ind w:left="920" w:right="40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By: Dimensional Holdings Inc., General Partner</w:t>
      </w:r>
    </w:p>
    <w:p>
      <w:pPr>
        <w:spacing w:after="0" w:line="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October 31,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Global Chief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2024-10-31T11:00:37Z</dcterms:created>
  <dcterms:modified xsi:type="dcterms:W3CDTF">2024-10-31T11:00:37Z</dcterms:modified>
</cp:coreProperties>
</file>