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1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8-K</w:t>
      </w:r>
    </w:p>
    <w:p>
      <w:pPr>
        <w:spacing w:after="0" w:line="3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10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w:t>
      </w:r>
    </w:p>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EXCHANGE ACT OF 1934</w:t>
      </w:r>
    </w:p>
    <w:p>
      <w:pPr>
        <w:spacing w:after="0" w:line="100"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w:t>
      </w:r>
    </w:p>
    <w:p>
      <w:pPr>
        <w:spacing w:after="0" w:line="100"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February 27, 2023</w:t>
      </w:r>
    </w:p>
    <w:p>
      <w:pPr>
        <w:spacing w:after="0" w:line="80"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TEGNA INC.</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60"/>
          </w:cols>
          <w:pgMar w:left="320" w:top="1003" w:right="319" w:bottom="1440" w:gutter="0" w:footer="0" w:header="0"/>
        </w:sectPr>
      </w:pPr>
    </w:p>
    <w:p>
      <w:pPr>
        <w:spacing w:after="0" w:line="397" w:lineRule="exact"/>
        <w:rPr>
          <w:sz w:val="24"/>
          <w:szCs w:val="24"/>
          <w:color w:val="auto"/>
        </w:rPr>
      </w:pPr>
    </w:p>
    <w:p>
      <w:pPr>
        <w:jc w:val="center"/>
        <w:ind w:left="680"/>
        <w:spacing w:after="0"/>
        <w:rPr>
          <w:sz w:val="20"/>
          <w:szCs w:val="20"/>
          <w:color w:val="auto"/>
        </w:rPr>
      </w:pPr>
      <w:r>
        <w:rPr>
          <w:rFonts w:ascii="Arial" w:cs="Arial" w:eastAsia="Arial" w:hAnsi="Arial"/>
          <w:sz w:val="16"/>
          <w:szCs w:val="16"/>
          <w:b w:val="1"/>
          <w:bCs w:val="1"/>
          <w:color w:val="auto"/>
        </w:rPr>
        <w:t>Delaware</w:t>
      </w:r>
    </w:p>
    <w:p>
      <w:pPr>
        <w:spacing w:after="0" w:line="39" w:lineRule="exact"/>
        <w:rPr>
          <w:sz w:val="24"/>
          <w:szCs w:val="24"/>
          <w:color w:val="auto"/>
        </w:rPr>
      </w:pPr>
    </w:p>
    <w:p>
      <w:pPr>
        <w:jc w:val="center"/>
        <w:ind w:left="6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jc w:val="center"/>
        <w:ind w:left="-19"/>
        <w:spacing w:after="0"/>
        <w:rPr>
          <w:sz w:val="20"/>
          <w:szCs w:val="20"/>
          <w:color w:val="auto"/>
        </w:rPr>
      </w:pPr>
      <w:r>
        <w:rPr>
          <w:rFonts w:ascii="Arial" w:cs="Arial" w:eastAsia="Arial" w:hAnsi="Arial"/>
          <w:sz w:val="16"/>
          <w:szCs w:val="16"/>
          <w:b w:val="1"/>
          <w:bCs w:val="1"/>
          <w:color w:val="auto"/>
        </w:rPr>
        <w:t>1-6961</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jc w:val="center"/>
        <w:ind w:right="680"/>
        <w:spacing w:after="0"/>
        <w:rPr>
          <w:sz w:val="20"/>
          <w:szCs w:val="20"/>
          <w:color w:val="auto"/>
        </w:rPr>
      </w:pPr>
      <w:r>
        <w:rPr>
          <w:rFonts w:ascii="Arial" w:cs="Arial" w:eastAsia="Arial" w:hAnsi="Arial"/>
          <w:sz w:val="16"/>
          <w:szCs w:val="16"/>
          <w:b w:val="1"/>
          <w:bCs w:val="1"/>
          <w:color w:val="auto"/>
        </w:rPr>
        <w:t>16-0442930</w:t>
      </w:r>
    </w:p>
    <w:p>
      <w:pPr>
        <w:spacing w:after="0" w:line="39"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(I.R.S. Employer Identification No.)</w:t>
      </w:r>
    </w:p>
    <w:p>
      <w:pPr>
        <w:spacing w:after="0" w:line="120" w:lineRule="exact"/>
        <w:rPr>
          <w:sz w:val="24"/>
          <w:szCs w:val="24"/>
          <w:color w:val="auto"/>
        </w:rPr>
      </w:pPr>
    </w:p>
    <w:p>
      <w:pPr>
        <w:sectPr>
          <w:pgSz w:w="11900" w:h="16838" w:orient="portrait"/>
          <w:cols w:equalWidth="0" w:num="3">
            <w:col w:w="4700" w:space="720"/>
            <w:col w:w="1940" w:space="720"/>
            <w:col w:w="3180"/>
          </w:cols>
          <w:pgMar w:left="320" w:top="1003" w:right="319" w:bottom="1440" w:gutter="0" w:footer="0" w:header="0"/>
          <w:type w:val="continuous"/>
        </w:sectPr>
      </w:pPr>
    </w:p>
    <w:p>
      <w:pPr>
        <w:ind w:left="1300" w:hanging="304"/>
        <w:spacing w:after="0" w:line="316" w:lineRule="auto"/>
        <w:rPr>
          <w:sz w:val="20"/>
          <w:szCs w:val="20"/>
          <w:color w:val="auto"/>
        </w:rPr>
      </w:pPr>
      <w:r>
        <w:rPr>
          <w:rFonts w:ascii="Arial" w:cs="Arial" w:eastAsia="Arial" w:hAnsi="Arial"/>
          <w:sz w:val="16"/>
          <w:szCs w:val="16"/>
          <w:b w:val="1"/>
          <w:bCs w:val="1"/>
          <w:color w:val="auto"/>
        </w:rPr>
        <w:t xml:space="preserve">8350 Broad Street, Suite 2000, Tysons, </w:t>
      </w: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Virginia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22102-5151</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6"/>
          <w:szCs w:val="16"/>
          <w:color w:val="auto"/>
        </w:rPr>
        <w:t>(Zip Code)</w:t>
      </w:r>
    </w:p>
    <w:p>
      <w:pPr>
        <w:spacing w:after="0" w:line="79" w:lineRule="exact"/>
        <w:rPr>
          <w:sz w:val="24"/>
          <w:szCs w:val="24"/>
          <w:color w:val="auto"/>
        </w:rPr>
      </w:pPr>
    </w:p>
    <w:p>
      <w:pPr>
        <w:sectPr>
          <w:pgSz w:w="11900" w:h="16838" w:orient="portrait"/>
          <w:cols w:equalWidth="0" w:num="3">
            <w:col w:w="4080" w:space="140"/>
            <w:col w:w="3960" w:space="720"/>
            <w:col w:w="2360"/>
          </w:cols>
          <w:pgMar w:left="320" w:top="1003" w:right="319" w:bottom="1440" w:gutter="0" w:footer="0" w:header="0"/>
          <w:type w:val="continuous"/>
        </w:sectPr>
      </w:pPr>
    </w:p>
    <w:p>
      <w:pPr>
        <w:ind w:left="2100"/>
        <w:spacing w:after="0"/>
        <w:rPr>
          <w:sz w:val="20"/>
          <w:szCs w:val="20"/>
          <w:color w:val="auto"/>
        </w:rPr>
      </w:pPr>
      <w:r>
        <w:rPr>
          <w:rFonts w:ascii="Arial" w:cs="Arial" w:eastAsia="Arial" w:hAnsi="Arial"/>
          <w:sz w:val="16"/>
          <w:szCs w:val="16"/>
          <w:color w:val="auto"/>
        </w:rPr>
        <w:t>(703) 873-6600</w:t>
      </w:r>
    </w:p>
    <w:p>
      <w:pPr>
        <w:spacing w:after="0" w:line="32" w:lineRule="exact"/>
        <w:rPr>
          <w:sz w:val="24"/>
          <w:szCs w:val="24"/>
          <w:color w:val="auto"/>
        </w:rPr>
      </w:pPr>
    </w:p>
    <w:p>
      <w:pPr>
        <w:ind w:left="280"/>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60"/>
          </w:cols>
          <w:pgMar w:left="320" w:top="1003" w:right="319" w:bottom="1440" w:gutter="0" w:footer="0" w:header="0"/>
          <w:type w:val="continuous"/>
        </w:sectPr>
      </w:pPr>
    </w:p>
    <w:p>
      <w:pPr>
        <w:spacing w:after="0" w:line="302" w:lineRule="exact"/>
        <w:rPr>
          <w:sz w:val="24"/>
          <w:szCs w:val="24"/>
          <w:color w:val="auto"/>
        </w:rPr>
      </w:pPr>
    </w:p>
    <w:p>
      <w:pPr>
        <w:ind w:left="5840"/>
        <w:spacing w:after="0"/>
        <w:rPr>
          <w:sz w:val="20"/>
          <w:szCs w:val="20"/>
          <w:color w:val="auto"/>
        </w:rPr>
      </w:pPr>
      <w:r>
        <w:rPr>
          <w:rFonts w:ascii="Arial" w:cs="Arial" w:eastAsia="Arial" w:hAnsi="Arial"/>
          <w:sz w:val="16"/>
          <w:szCs w:val="16"/>
          <w:b w:val="1"/>
          <w:bCs w:val="1"/>
          <w:color w:val="auto"/>
        </w:rPr>
        <w:t>Not Applicable</w:t>
      </w:r>
    </w:p>
    <w:p>
      <w:pPr>
        <w:spacing w:after="0" w:line="39" w:lineRule="exact"/>
        <w:rPr>
          <w:sz w:val="24"/>
          <w:szCs w:val="24"/>
          <w:color w:val="auto"/>
        </w:rPr>
      </w:pPr>
    </w:p>
    <w:p>
      <w:pPr>
        <w:ind w:left="338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87" w:lineRule="exact"/>
        <w:rPr>
          <w:sz w:val="24"/>
          <w:szCs w:val="24"/>
          <w:color w:val="auto"/>
        </w:rPr>
      </w:pPr>
    </w:p>
    <w:p>
      <w:pPr>
        <w:ind w:right="320"/>
        <w:spacing w:after="0" w:line="30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6"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35" w:lineRule="exact"/>
        <w:rPr>
          <w:sz w:val="24"/>
          <w:szCs w:val="24"/>
          <w:color w:val="auto"/>
        </w:rPr>
      </w:pPr>
    </w:p>
    <w:p>
      <w:pPr>
        <w:ind w:left="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67"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4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9"/>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TGNA</w:t>
            </w:r>
          </w:p>
        </w:tc>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200" w:lineRule="exact"/>
        <w:rPr>
          <w:sz w:val="24"/>
          <w:szCs w:val="24"/>
          <w:color w:val="auto"/>
        </w:rPr>
      </w:pPr>
    </w:p>
    <w:p>
      <w:pPr>
        <w:spacing w:after="0" w:line="299" w:lineRule="exact"/>
        <w:rPr>
          <w:sz w:val="24"/>
          <w:szCs w:val="24"/>
          <w:color w:val="auto"/>
        </w:rPr>
      </w:pPr>
    </w:p>
    <w:p>
      <w:pPr>
        <w:jc w:val="both"/>
        <w:ind w:right="20"/>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 w:lineRule="exact"/>
        <w:rPr>
          <w:sz w:val="24"/>
          <w:szCs w:val="24"/>
          <w:color w:val="auto"/>
        </w:rPr>
      </w:pPr>
    </w:p>
    <w:p>
      <w:pPr>
        <w:ind w:left="64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63" w:lineRule="exact"/>
        <w:rPr>
          <w:sz w:val="24"/>
          <w:szCs w:val="24"/>
          <w:color w:val="auto"/>
        </w:rPr>
      </w:pPr>
    </w:p>
    <w:p>
      <w:pPr>
        <w:ind w:right="16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1437640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3"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48" w:lineRule="exact"/>
        <w:rPr>
          <w:sz w:val="20"/>
          <w:szCs w:val="20"/>
          <w:color w:val="auto"/>
        </w:rPr>
      </w:pPr>
    </w:p>
    <w:p>
      <w:pPr>
        <w:ind w:right="300" w:firstLine="324"/>
        <w:spacing w:after="0" w:line="304" w:lineRule="auto"/>
        <w:rPr>
          <w:sz w:val="20"/>
          <w:szCs w:val="20"/>
          <w:color w:val="auto"/>
        </w:rPr>
      </w:pPr>
      <w:r>
        <w:rPr>
          <w:rFonts w:ascii="Arial" w:cs="Arial" w:eastAsia="Arial" w:hAnsi="Arial"/>
          <w:sz w:val="16"/>
          <w:szCs w:val="16"/>
          <w:color w:val="auto"/>
        </w:rPr>
        <w:t>On February 27, 2023, TEGNA Inc. reported its consolidated financial results for the fourth quarter and twelve months ended December 31, 2022. A copy of this press release is furnished with this report as Exhibit 99.1.</w:t>
      </w:r>
    </w:p>
    <w:p>
      <w:pPr>
        <w:spacing w:after="0" w:line="168" w:lineRule="exact"/>
        <w:rPr>
          <w:sz w:val="20"/>
          <w:szCs w:val="20"/>
          <w:color w:val="auto"/>
        </w:rPr>
      </w:pPr>
    </w:p>
    <w:p>
      <w:pPr>
        <w:jc w:val="both"/>
        <w:ind w:right="360" w:firstLine="324"/>
        <w:spacing w:after="0" w:line="275" w:lineRule="auto"/>
        <w:rPr>
          <w:sz w:val="20"/>
          <w:szCs w:val="20"/>
          <w:color w:val="auto"/>
        </w:rPr>
      </w:pPr>
      <w:r>
        <w:rPr>
          <w:rFonts w:ascii="Arial" w:cs="Arial" w:eastAsia="Arial" w:hAnsi="Arial"/>
          <w:sz w:val="16"/>
          <w:szCs w:val="16"/>
          <w:color w:val="auto"/>
        </w:rPr>
        <w:t>The information contained in this Current Report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480" w:type="dxa"/>
            <w:vAlign w:val="bottom"/>
            <w:gridSpan w:val="2"/>
          </w:tcPr>
          <w:p>
            <w:pPr>
              <w:spacing w:after="0"/>
              <w:rPr>
                <w:sz w:val="20"/>
                <w:szCs w:val="20"/>
                <w:color w:val="auto"/>
              </w:rPr>
            </w:pPr>
            <w:r>
              <w:rPr>
                <w:rFonts w:ascii="Arial" w:cs="Arial" w:eastAsia="Arial" w:hAnsi="Arial"/>
                <w:sz w:val="16"/>
                <w:szCs w:val="16"/>
                <w:color w:val="auto"/>
              </w:rPr>
              <w:t>Exhibit No.</w:t>
            </w:r>
          </w:p>
        </w:tc>
        <w:tc>
          <w:tcPr>
            <w:tcW w:w="20" w:type="dxa"/>
            <w:vAlign w:val="bottom"/>
          </w:tcPr>
          <w:p>
            <w:pPr>
              <w:spacing w:after="0"/>
              <w:rPr>
                <w:sz w:val="18"/>
                <w:szCs w:val="18"/>
                <w:color w:val="auto"/>
              </w:rPr>
            </w:pPr>
          </w:p>
        </w:tc>
        <w:tc>
          <w:tcPr>
            <w:tcW w:w="9680" w:type="dxa"/>
            <w:vAlign w:val="bottom"/>
            <w:gridSpan w:val="3"/>
          </w:tcPr>
          <w:p>
            <w:pPr>
              <w:spacing w:after="0"/>
              <w:rPr>
                <w:sz w:val="20"/>
                <w:szCs w:val="20"/>
                <w:color w:val="auto"/>
              </w:rPr>
            </w:pPr>
            <w:r>
              <w:rPr>
                <w:rFonts w:ascii="Arial" w:cs="Arial" w:eastAsia="Arial" w:hAnsi="Arial"/>
                <w:sz w:val="16"/>
                <w:szCs w:val="16"/>
                <w:color w:val="auto"/>
              </w:rPr>
              <w:t>Description</w:t>
            </w:r>
          </w:p>
        </w:tc>
      </w:tr>
      <w:tr>
        <w:trPr>
          <w:trHeight w:val="413"/>
        </w:trPr>
        <w:tc>
          <w:tcPr>
            <w:tcW w:w="13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99.1</w:t>
            </w:r>
          </w:p>
        </w:tc>
        <w:tc>
          <w:tcPr>
            <w:tcW w:w="1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8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0000FF"/>
              </w:rPr>
              <w:t>TEGNA Inc. News Release dated February 27, 2023 (earnings release reporting TEGNA Inc.'s financial results for the fourth quarter</w:t>
            </w:r>
          </w:p>
        </w:tc>
      </w:tr>
      <w:tr>
        <w:trPr>
          <w:trHeight w:val="142"/>
        </w:trPr>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40" w:type="dxa"/>
            <w:vAlign w:val="bottom"/>
            <w:tcBorders>
              <w:top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and twelve months ended December 31, 2022).</w:t>
            </w:r>
          </w:p>
        </w:tc>
        <w:tc>
          <w:tcPr>
            <w:tcW w:w="240" w:type="dxa"/>
            <w:vAlign w:val="bottom"/>
          </w:tcPr>
          <w:p>
            <w:pPr>
              <w:spacing w:after="0"/>
              <w:rPr>
                <w:sz w:val="12"/>
                <w:szCs w:val="12"/>
                <w:color w:val="auto"/>
              </w:rPr>
            </w:pPr>
          </w:p>
        </w:tc>
      </w:tr>
      <w:tr>
        <w:trPr>
          <w:trHeight w:val="20"/>
        </w:trPr>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6"/>
                <w:szCs w:val="16"/>
                <w:color w:val="auto"/>
              </w:rPr>
              <w:t>104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80" w:type="dxa"/>
            <w:vAlign w:val="bottom"/>
            <w:gridSpan w:val="3"/>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r>
    </w:tbl>
    <w:p>
      <w:pPr>
        <w:sectPr>
          <w:pgSz w:w="11900" w:h="16838" w:orient="portrait"/>
          <w:cols w:equalWidth="0" w:num="1">
            <w:col w:w="11220"/>
          </w:cols>
          <w:pgMar w:left="320" w:top="895" w:right="35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ind w:right="-19"/>
        <w:spacing w:after="0"/>
        <w:rPr>
          <w:sz w:val="20"/>
          <w:szCs w:val="20"/>
          <w:color w:val="auto"/>
        </w:rPr>
      </w:pPr>
      <w:r>
        <w:rPr>
          <w:rFonts w:ascii="Arial" w:cs="Arial" w:eastAsia="Arial" w:hAnsi="Arial"/>
          <w:sz w:val="16"/>
          <w:szCs w:val="16"/>
          <w:color w:val="auto"/>
        </w:rPr>
        <w:t>SIGNATURE</w:t>
      </w:r>
    </w:p>
    <w:p>
      <w:pPr>
        <w:spacing w:after="0" w:line="10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75" w:lineRule="exact"/>
        <w:rPr>
          <w:sz w:val="20"/>
          <w:szCs w:val="20"/>
          <w:color w:val="auto"/>
        </w:rPr>
      </w:pPr>
    </w:p>
    <w:p>
      <w:pPr>
        <w:ind w:left="5920"/>
        <w:spacing w:after="0"/>
        <w:rPr>
          <w:sz w:val="20"/>
          <w:szCs w:val="20"/>
          <w:color w:val="auto"/>
        </w:rPr>
      </w:pPr>
      <w:r>
        <w:rPr>
          <w:rFonts w:ascii="Arial" w:cs="Arial" w:eastAsia="Arial" w:hAnsi="Arial"/>
          <w:sz w:val="16"/>
          <w:szCs w:val="16"/>
          <w:b w:val="1"/>
          <w:bCs w:val="1"/>
          <w:color w:val="auto"/>
        </w:rPr>
        <w:t>TEGNA Inc.</w:t>
      </w:r>
    </w:p>
    <w:p>
      <w:pPr>
        <w:spacing w:after="0" w:line="289" w:lineRule="exact"/>
        <w:rPr>
          <w:sz w:val="20"/>
          <w:szCs w:val="20"/>
          <w:color w:val="auto"/>
        </w:rPr>
      </w:pPr>
    </w:p>
    <w:p>
      <w:pPr>
        <w:ind w:left="680"/>
        <w:spacing w:after="0"/>
        <w:tabs>
          <w:tab w:leader="none" w:pos="5240" w:val="left"/>
          <w:tab w:leader="none" w:pos="5900" w:val="left"/>
        </w:tabs>
        <w:rPr>
          <w:sz w:val="20"/>
          <w:szCs w:val="20"/>
          <w:color w:val="auto"/>
        </w:rPr>
      </w:pPr>
      <w:r>
        <w:rPr>
          <w:rFonts w:ascii="Arial" w:cs="Arial" w:eastAsia="Arial" w:hAnsi="Arial"/>
          <w:sz w:val="16"/>
          <w:szCs w:val="16"/>
          <w:color w:val="auto"/>
        </w:rPr>
        <w:t>Date: February 27,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Clifton A. McClelland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20955</wp:posOffset>
            </wp:positionV>
            <wp:extent cx="2974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26"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Clifton A. McClelland III</w:t>
      </w:r>
    </w:p>
    <w:p>
      <w:pPr>
        <w:spacing w:after="0" w:line="32"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Senior Vice President and Controller</w:t>
      </w:r>
    </w:p>
    <w:p>
      <w:pPr>
        <w:sectPr>
          <w:pgSz w:w="11900" w:h="16838" w:orient="portrait"/>
          <w:cols w:equalWidth="0" w:num="1">
            <w:col w:w="11220"/>
          </w:cols>
          <w:pgMar w:left="320" w:top="895" w:right="3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5700395" cy="488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700395" cy="488315"/>
                    </a:xfrm>
                    <a:prstGeom prst="rect">
                      <a:avLst/>
                    </a:prstGeom>
                    <a:noFill/>
                  </pic:spPr>
                </pic:pic>
              </a:graphicData>
            </a:graphic>
          </wp:anchor>
        </w:drawing>
      </w:r>
    </w:p>
    <w:p>
      <w:pPr>
        <w:spacing w:after="0" w:line="227" w:lineRule="exact"/>
        <w:rPr>
          <w:sz w:val="20"/>
          <w:szCs w:val="20"/>
          <w:color w:val="auto"/>
        </w:rPr>
      </w:pPr>
    </w:p>
    <w:p>
      <w:pPr>
        <w:ind w:left="120"/>
        <w:spacing w:after="0"/>
        <w:tabs>
          <w:tab w:leader="none" w:pos="8360" w:val="left"/>
        </w:tabs>
        <w:rPr>
          <w:sz w:val="20"/>
          <w:szCs w:val="20"/>
          <w:color w:val="auto"/>
        </w:rPr>
      </w:pPr>
      <w:r>
        <w:rPr>
          <w:rFonts w:ascii="Arial" w:cs="Arial" w:eastAsia="Arial" w:hAnsi="Arial"/>
          <w:sz w:val="22"/>
          <w:szCs w:val="22"/>
          <w:b w:val="1"/>
          <w:bCs w:val="1"/>
          <w:color w:val="auto"/>
        </w:rPr>
        <w:t>FOR IMMEDIATE RELEASE</w:t>
      </w:r>
      <w:r>
        <w:rPr>
          <w:sz w:val="20"/>
          <w:szCs w:val="20"/>
          <w:color w:val="auto"/>
        </w:rPr>
        <w:tab/>
      </w:r>
      <w:r>
        <w:rPr>
          <w:rFonts w:ascii="Arial" w:cs="Arial" w:eastAsia="Arial" w:hAnsi="Arial"/>
          <w:sz w:val="21"/>
          <w:szCs w:val="21"/>
          <w:b w:val="1"/>
          <w:bCs w:val="1"/>
          <w:color w:val="auto"/>
        </w:rPr>
        <w:t>Monday, February 27, 2023</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TEGNA Inc. Reports Fourth Quarter and Full Year 2022 Results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Achieved record year for company revenue, subscription revenue, net income, and Adjusted EBITDA</w:t>
      </w:r>
    </w:p>
    <w:p>
      <w:pPr>
        <w:spacing w:after="0" w:line="243" w:lineRule="exact"/>
        <w:rPr>
          <w:sz w:val="20"/>
          <w:szCs w:val="20"/>
          <w:color w:val="auto"/>
        </w:rPr>
      </w:pPr>
    </w:p>
    <w:p>
      <w:pPr>
        <w:ind w:right="800"/>
        <w:spacing w:after="0" w:line="309" w:lineRule="auto"/>
        <w:rPr>
          <w:sz w:val="20"/>
          <w:szCs w:val="20"/>
          <w:color w:val="auto"/>
        </w:rPr>
      </w:pPr>
      <w:r>
        <w:rPr>
          <w:rFonts w:ascii="Arial" w:cs="Arial" w:eastAsia="Arial" w:hAnsi="Arial"/>
          <w:sz w:val="19"/>
          <w:szCs w:val="19"/>
          <w:b w:val="1"/>
          <w:bCs w:val="1"/>
          <w:i w:val="1"/>
          <w:iCs w:val="1"/>
          <w:color w:val="auto"/>
        </w:rPr>
        <w:t>Achieved sustained progress toward TEGNA’s 2025 Diversity, Equity and Inclusion (DE&amp;I) goals to grow Black, Indigenous and People of Color (BIPOC) representation in company leadership as well as content teams</w:t>
      </w:r>
    </w:p>
    <w:p>
      <w:pPr>
        <w:spacing w:after="0" w:line="139" w:lineRule="exact"/>
        <w:rPr>
          <w:sz w:val="20"/>
          <w:szCs w:val="20"/>
          <w:color w:val="auto"/>
        </w:rPr>
      </w:pPr>
    </w:p>
    <w:p>
      <w:pPr>
        <w:ind w:right="40"/>
        <w:spacing w:after="0" w:line="271" w:lineRule="auto"/>
        <w:rPr>
          <w:sz w:val="20"/>
          <w:szCs w:val="20"/>
          <w:color w:val="auto"/>
        </w:rPr>
      </w:pPr>
      <w:r>
        <w:rPr>
          <w:rFonts w:ascii="Arial" w:cs="Arial" w:eastAsia="Arial" w:hAnsi="Arial"/>
          <w:sz w:val="20"/>
          <w:szCs w:val="20"/>
          <w:color w:val="auto"/>
        </w:rPr>
        <w:t>Tysons, Va – TEGNA Inc. (NYSE: TGNA) today announced financial results for the fourth quarter and full-year ended December 31, 2022.</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FINANCIAL HIGHLIGHTS:</w:t>
      </w:r>
    </w:p>
    <w:p>
      <w:pPr>
        <w:spacing w:after="0" w:line="258" w:lineRule="exact"/>
        <w:rPr>
          <w:sz w:val="20"/>
          <w:szCs w:val="20"/>
          <w:color w:val="auto"/>
        </w:rPr>
      </w:pPr>
    </w:p>
    <w:p>
      <w:pPr>
        <w:ind w:left="660" w:right="240" w:hanging="328"/>
        <w:spacing w:after="0" w:line="250"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company revenue was $917 million in the fourth quarter, up 18 percent year-over-year, driven by strong growth in political revenue despite advertising and marketing services (“AMS”) revenue declines resulting from political displacement and macroeconomic headwinds.</w:t>
      </w:r>
    </w:p>
    <w:p>
      <w:pPr>
        <w:spacing w:after="0" w:line="1" w:lineRule="exact"/>
        <w:rPr>
          <w:rFonts w:ascii="Arial" w:cs="Arial" w:eastAsia="Arial" w:hAnsi="Arial"/>
          <w:sz w:val="20"/>
          <w:szCs w:val="20"/>
          <w:color w:val="auto"/>
        </w:rPr>
      </w:pPr>
    </w:p>
    <w:p>
      <w:pPr>
        <w:ind w:left="1960" w:right="420" w:hanging="324"/>
        <w:spacing w:after="0" w:line="260" w:lineRule="auto"/>
        <w:rPr>
          <w:rFonts w:ascii="Arial" w:cs="Arial" w:eastAsia="Arial" w:hAnsi="Arial"/>
          <w:sz w:val="20"/>
          <w:szCs w:val="20"/>
          <w:color w:val="auto"/>
        </w:rPr>
      </w:pPr>
      <w:r>
        <w:rPr>
          <w:rFonts w:ascii="Arial" w:cs="Arial" w:eastAsia="Arial" w:hAnsi="Arial"/>
          <w:sz w:val="20"/>
          <w:szCs w:val="20"/>
          <w:color w:val="auto"/>
        </w:rPr>
        <w:t>– Total company revenue was down two percent from the fourth quarter of 2020 due to reduced political revenue compared to 2020’s presidential election cycle, partially offset by record fourth quarter subscription revenue in 2022.</w:t>
      </w:r>
    </w:p>
    <w:p>
      <w:pPr>
        <w:spacing w:after="0" w:line="193" w:lineRule="exact"/>
        <w:rPr>
          <w:rFonts w:ascii="Arial" w:cs="Arial" w:eastAsia="Arial" w:hAnsi="Arial"/>
          <w:sz w:val="20"/>
          <w:szCs w:val="20"/>
          <w:color w:val="auto"/>
        </w:rPr>
      </w:pPr>
    </w:p>
    <w:p>
      <w:pPr>
        <w:ind w:left="660" w:right="320" w:hanging="328"/>
        <w:spacing w:after="0" w:line="255"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Subscription revenue was a fourth quarter record of $372 million, up 11 percent year-over-year, due to rate increases, partially offset by subscriber declines and the comparison to the DISH disruption in 2021.</w:t>
      </w:r>
    </w:p>
    <w:p>
      <w:pPr>
        <w:spacing w:after="0" w:line="1" w:lineRule="exact"/>
        <w:rPr>
          <w:rFonts w:ascii="Arial" w:cs="Arial" w:eastAsia="Arial" w:hAnsi="Arial"/>
          <w:sz w:val="20"/>
          <w:szCs w:val="20"/>
          <w:color w:val="auto"/>
        </w:rPr>
      </w:pPr>
    </w:p>
    <w:p>
      <w:pPr>
        <w:ind w:left="1960" w:right="240" w:hanging="324"/>
        <w:spacing w:after="0" w:line="267" w:lineRule="auto"/>
        <w:rPr>
          <w:rFonts w:ascii="Arial" w:cs="Arial" w:eastAsia="Arial" w:hAnsi="Arial"/>
          <w:sz w:val="20"/>
          <w:szCs w:val="20"/>
          <w:color w:val="auto"/>
        </w:rPr>
      </w:pPr>
      <w:r>
        <w:rPr>
          <w:rFonts w:ascii="Arial" w:cs="Arial" w:eastAsia="Arial" w:hAnsi="Arial"/>
          <w:sz w:val="20"/>
          <w:szCs w:val="20"/>
          <w:color w:val="auto"/>
        </w:rPr>
        <w:t>– TEGNA has renewed retransmission consent agreements representing approximately 30 percent of our subscribers since our prior quarterly release on November 9, 2022.</w:t>
      </w:r>
    </w:p>
    <w:p>
      <w:pPr>
        <w:spacing w:after="0" w:line="199" w:lineRule="exact"/>
        <w:rPr>
          <w:rFonts w:ascii="Arial" w:cs="Arial" w:eastAsia="Arial" w:hAnsi="Arial"/>
          <w:sz w:val="20"/>
          <w:szCs w:val="20"/>
          <w:color w:val="auto"/>
        </w:rPr>
      </w:pPr>
    </w:p>
    <w:p>
      <w:pPr>
        <w:ind w:left="660" w:right="300" w:hanging="328"/>
        <w:spacing w:after="0" w:line="251"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AMS revenue was $353 million in the fourth quarter, down 12 percent year-over-year due to displacement driven by strong political revenue, continued macroeconomic headwinds, and reduced sports betting advertising with fewer new market launches this year versus the prior year. Automotive advertising revenue rebounded in the quarter with strong year-over-year growth.</w:t>
      </w:r>
    </w:p>
    <w:p>
      <w:pPr>
        <w:ind w:left="1960" w:right="320" w:hanging="324"/>
        <w:spacing w:after="0" w:line="253" w:lineRule="auto"/>
        <w:rPr>
          <w:rFonts w:ascii="Arial" w:cs="Arial" w:eastAsia="Arial" w:hAnsi="Arial"/>
          <w:sz w:val="20"/>
          <w:szCs w:val="20"/>
          <w:color w:val="auto"/>
        </w:rPr>
      </w:pPr>
      <w:r>
        <w:rPr>
          <w:rFonts w:ascii="Arial" w:cs="Arial" w:eastAsia="Arial" w:hAnsi="Arial"/>
          <w:sz w:val="20"/>
          <w:szCs w:val="20"/>
          <w:color w:val="auto"/>
        </w:rPr>
        <w:t>– Compared to 2020, fourth quarter AMS revenue was up slightly driven by strong growth in most categories including entertainment, services, and travel and tourism, partially offset by macroeconomic headwinds impacting, auto, insurance, and retail in this two-year comparison.</w:t>
      </w: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ind w:left="640" w:right="420" w:hanging="328"/>
        <w:spacing w:after="0" w:line="267" w:lineRule="auto"/>
        <w:tabs>
          <w:tab w:leader="none" w:pos="635" w:val="left"/>
        </w:tabs>
        <w:numPr>
          <w:ilvl w:val="0"/>
          <w:numId w:val="3"/>
        </w:numPr>
        <w:rPr>
          <w:rFonts w:ascii="Arial" w:cs="Arial" w:eastAsia="Arial" w:hAnsi="Arial"/>
          <w:sz w:val="22"/>
          <w:szCs w:val="22"/>
          <w:color w:val="auto"/>
        </w:rPr>
      </w:pPr>
      <w:r>
        <w:rPr>
          <w:rFonts w:ascii="Arial" w:cs="Arial" w:eastAsia="Arial" w:hAnsi="Arial"/>
          <w:sz w:val="20"/>
          <w:szCs w:val="20"/>
          <w:color w:val="auto"/>
        </w:rPr>
        <w:t>Political revenue was $179 million, up nine percent from 2018, the last non-presidential election year, on a pro forma basis</w:t>
      </w:r>
      <w:r>
        <w:rPr>
          <w:rFonts w:ascii="Arial" w:cs="Arial" w:eastAsia="Arial" w:hAnsi="Arial"/>
          <w:sz w:val="25"/>
          <w:szCs w:val="25"/>
          <w:color w:val="auto"/>
          <w:vertAlign w:val="superscript"/>
        </w:rPr>
        <w:t>1</w:t>
      </w:r>
      <w:r>
        <w:rPr>
          <w:rFonts w:ascii="Arial" w:cs="Arial" w:eastAsia="Arial" w:hAnsi="Arial"/>
          <w:sz w:val="20"/>
          <w:szCs w:val="20"/>
          <w:color w:val="auto"/>
        </w:rPr>
        <w:t>.</w:t>
      </w:r>
    </w:p>
    <w:p>
      <w:pPr>
        <w:spacing w:after="0" w:line="141" w:lineRule="exact"/>
        <w:rPr>
          <w:rFonts w:ascii="Arial" w:cs="Arial" w:eastAsia="Arial" w:hAnsi="Arial"/>
          <w:sz w:val="22"/>
          <w:szCs w:val="22"/>
          <w:color w:val="auto"/>
        </w:rPr>
      </w:pPr>
    </w:p>
    <w:p>
      <w:pPr>
        <w:ind w:left="640" w:hanging="328"/>
        <w:spacing w:after="0"/>
        <w:tabs>
          <w:tab w:leader="none" w:pos="640" w:val="left"/>
        </w:tabs>
        <w:numPr>
          <w:ilvl w:val="0"/>
          <w:numId w:val="3"/>
        </w:numPr>
        <w:rPr>
          <w:rFonts w:ascii="Arial" w:cs="Arial" w:eastAsia="Arial" w:hAnsi="Arial"/>
          <w:sz w:val="22"/>
          <w:szCs w:val="22"/>
          <w:color w:val="auto"/>
        </w:rPr>
      </w:pPr>
      <w:r>
        <w:rPr>
          <w:rFonts w:ascii="Arial" w:cs="Arial" w:eastAsia="Arial" w:hAnsi="Arial"/>
          <w:sz w:val="20"/>
          <w:szCs w:val="20"/>
          <w:color w:val="auto"/>
        </w:rPr>
        <w:t>TEGNA achieved net income of $219 million on a GAAP basis, or $221 million on a non-GAAP basis.</w:t>
      </w:r>
    </w:p>
    <w:p>
      <w:pPr>
        <w:spacing w:after="0" w:line="260" w:lineRule="exact"/>
        <w:rPr>
          <w:rFonts w:ascii="Arial" w:cs="Arial" w:eastAsia="Arial" w:hAnsi="Arial"/>
          <w:sz w:val="22"/>
          <w:szCs w:val="22"/>
          <w:color w:val="auto"/>
        </w:rPr>
      </w:pPr>
    </w:p>
    <w:p>
      <w:pPr>
        <w:ind w:left="640" w:right="580" w:hanging="328"/>
        <w:spacing w:after="0" w:line="227" w:lineRule="auto"/>
        <w:tabs>
          <w:tab w:leader="none" w:pos="635" w:val="left"/>
        </w:tabs>
        <w:numPr>
          <w:ilvl w:val="0"/>
          <w:numId w:val="3"/>
        </w:numPr>
        <w:rPr>
          <w:rFonts w:ascii="Arial" w:cs="Arial" w:eastAsia="Arial" w:hAnsi="Arial"/>
          <w:sz w:val="22"/>
          <w:szCs w:val="22"/>
          <w:color w:val="auto"/>
        </w:rPr>
      </w:pPr>
      <w:r>
        <w:rPr>
          <w:rFonts w:ascii="Arial" w:cs="Arial" w:eastAsia="Arial" w:hAnsi="Arial"/>
          <w:sz w:val="20"/>
          <w:szCs w:val="20"/>
          <w:color w:val="auto"/>
        </w:rPr>
        <w:t>Total company Adjusted EBITDA</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was $361 million, representing an increase of 47 percent compared to the fourth quarter of 2021.</w:t>
      </w:r>
    </w:p>
    <w:p>
      <w:pPr>
        <w:spacing w:after="0" w:line="1" w:lineRule="exact"/>
        <w:rPr>
          <w:rFonts w:ascii="Arial" w:cs="Arial" w:eastAsia="Arial" w:hAnsi="Arial"/>
          <w:sz w:val="22"/>
          <w:szCs w:val="22"/>
          <w:color w:val="auto"/>
        </w:rPr>
      </w:pPr>
    </w:p>
    <w:p>
      <w:pPr>
        <w:ind w:left="1940" w:hanging="324"/>
        <w:spacing w:after="0" w:line="249"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9"/>
          <w:szCs w:val="19"/>
          <w:color w:val="auto"/>
        </w:rPr>
        <w:t>Fourth quarter Adjusted EBITDA was down 16 percent compared to the fourth quarter of 2020 reflecting</w:t>
      </w:r>
      <w:r>
        <w:rPr>
          <w:rFonts w:ascii="Arial" w:cs="Arial" w:eastAsia="Arial" w:hAnsi="Arial"/>
          <w:sz w:val="22"/>
          <w:szCs w:val="22"/>
          <w:color w:val="auto"/>
        </w:rPr>
        <w:t xml:space="preserve"> </w:t>
      </w:r>
      <w:r>
        <w:rPr>
          <w:rFonts w:ascii="Arial" w:cs="Arial" w:eastAsia="Arial" w:hAnsi="Arial"/>
          <w:sz w:val="19"/>
          <w:szCs w:val="19"/>
          <w:color w:val="auto"/>
        </w:rPr>
        <w:t>reduced political revenue from the presidential election and the two Georgia Senate runoffs, partially offset by growth in subscription revenue.</w:t>
      </w:r>
    </w:p>
    <w:p>
      <w:pPr>
        <w:spacing w:after="0" w:line="242" w:lineRule="exact"/>
        <w:rPr>
          <w:rFonts w:ascii="Arial" w:cs="Arial" w:eastAsia="Arial" w:hAnsi="Arial"/>
          <w:sz w:val="22"/>
          <w:szCs w:val="22"/>
          <w:color w:val="auto"/>
        </w:rPr>
      </w:pPr>
    </w:p>
    <w:p>
      <w:pPr>
        <w:ind w:left="640" w:hanging="328"/>
        <w:spacing w:after="0" w:line="246" w:lineRule="auto"/>
        <w:tabs>
          <w:tab w:leader="none" w:pos="635" w:val="left"/>
        </w:tabs>
        <w:numPr>
          <w:ilvl w:val="0"/>
          <w:numId w:val="3"/>
        </w:numPr>
        <w:rPr>
          <w:rFonts w:ascii="Arial" w:cs="Arial" w:eastAsia="Arial" w:hAnsi="Arial"/>
          <w:sz w:val="22"/>
          <w:szCs w:val="22"/>
          <w:color w:val="auto"/>
        </w:rPr>
      </w:pPr>
      <w:r>
        <w:rPr>
          <w:rFonts w:ascii="Arial" w:cs="Arial" w:eastAsia="Arial" w:hAnsi="Arial"/>
          <w:sz w:val="20"/>
          <w:szCs w:val="20"/>
          <w:color w:val="auto"/>
        </w:rPr>
        <w:t>GAAP operating expenses were $589 million, up four percent year-over-year, and non-GAAP operating expenses were $587 million, up four percent year-over-year, with the increases predominantly driven by investments in Premion’s growth and programming costs.</w:t>
      </w:r>
    </w:p>
    <w:p>
      <w:pPr>
        <w:spacing w:after="0" w:line="2" w:lineRule="exact"/>
        <w:rPr>
          <w:rFonts w:ascii="Arial" w:cs="Arial" w:eastAsia="Arial" w:hAnsi="Arial"/>
          <w:sz w:val="22"/>
          <w:szCs w:val="22"/>
          <w:color w:val="auto"/>
        </w:rPr>
      </w:pPr>
    </w:p>
    <w:p>
      <w:pPr>
        <w:ind w:left="1940" w:right="320" w:hanging="324"/>
        <w:spacing w:after="0" w:line="236"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9"/>
          <w:szCs w:val="19"/>
          <w:color w:val="auto"/>
        </w:rPr>
        <w:t>Non-GAAP expenses less Premion costs increased two percent from the fourth quarter of 2021, driven</w:t>
      </w:r>
      <w:r>
        <w:rPr>
          <w:rFonts w:ascii="Arial" w:cs="Arial" w:eastAsia="Arial" w:hAnsi="Arial"/>
          <w:sz w:val="22"/>
          <w:szCs w:val="22"/>
          <w:color w:val="auto"/>
        </w:rPr>
        <w:t xml:space="preserve"> </w:t>
      </w:r>
      <w:r>
        <w:rPr>
          <w:rFonts w:ascii="Arial" w:cs="Arial" w:eastAsia="Arial" w:hAnsi="Arial"/>
          <w:sz w:val="19"/>
          <w:szCs w:val="19"/>
          <w:color w:val="auto"/>
        </w:rPr>
        <w:t>primarily by programming expenses.</w:t>
      </w:r>
    </w:p>
    <w:p>
      <w:pPr>
        <w:spacing w:after="0" w:line="2" w:lineRule="exact"/>
        <w:rPr>
          <w:rFonts w:ascii="Arial" w:cs="Arial" w:eastAsia="Arial" w:hAnsi="Arial"/>
          <w:sz w:val="22"/>
          <w:szCs w:val="22"/>
          <w:color w:val="auto"/>
        </w:rPr>
      </w:pPr>
    </w:p>
    <w:p>
      <w:pPr>
        <w:ind w:left="1940" w:right="160" w:hanging="324"/>
        <w:spacing w:after="0" w:line="270"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9"/>
          <w:szCs w:val="19"/>
          <w:color w:val="auto"/>
        </w:rPr>
        <w:t>Non-GAAP operating expenses less programming and Premion costs were down one percent compared</w:t>
      </w:r>
      <w:r>
        <w:rPr>
          <w:rFonts w:ascii="Arial" w:cs="Arial" w:eastAsia="Arial" w:hAnsi="Arial"/>
          <w:sz w:val="22"/>
          <w:szCs w:val="22"/>
          <w:color w:val="auto"/>
        </w:rPr>
        <w:t xml:space="preserve"> </w:t>
      </w:r>
      <w:r>
        <w:rPr>
          <w:rFonts w:ascii="Arial" w:cs="Arial" w:eastAsia="Arial" w:hAnsi="Arial"/>
          <w:sz w:val="19"/>
          <w:szCs w:val="19"/>
          <w:color w:val="auto"/>
        </w:rPr>
        <w:t>to the fourth quarter of 2021.</w:t>
      </w:r>
    </w:p>
    <w:p>
      <w:pPr>
        <w:spacing w:after="0" w:line="221" w:lineRule="exact"/>
        <w:rPr>
          <w:rFonts w:ascii="Arial" w:cs="Arial" w:eastAsia="Arial" w:hAnsi="Arial"/>
          <w:sz w:val="22"/>
          <w:szCs w:val="22"/>
          <w:color w:val="auto"/>
        </w:rPr>
      </w:pPr>
    </w:p>
    <w:p>
      <w:pPr>
        <w:ind w:left="640" w:hanging="328"/>
        <w:spacing w:after="0"/>
        <w:tabs>
          <w:tab w:leader="none" w:pos="640" w:val="left"/>
        </w:tabs>
        <w:numPr>
          <w:ilvl w:val="0"/>
          <w:numId w:val="3"/>
        </w:numPr>
        <w:rPr>
          <w:rFonts w:ascii="Arial" w:cs="Arial" w:eastAsia="Arial" w:hAnsi="Arial"/>
          <w:sz w:val="22"/>
          <w:szCs w:val="22"/>
          <w:color w:val="auto"/>
        </w:rPr>
      </w:pPr>
      <w:r>
        <w:rPr>
          <w:rFonts w:ascii="Arial" w:cs="Arial" w:eastAsia="Arial" w:hAnsi="Arial"/>
          <w:sz w:val="20"/>
          <w:szCs w:val="20"/>
          <w:color w:val="auto"/>
        </w:rPr>
        <w:t>GAAP and non-GAAP operating income totaled $328 million and $331 million, respectively.</w:t>
      </w:r>
    </w:p>
    <w:p>
      <w:pPr>
        <w:spacing w:after="0" w:line="260" w:lineRule="exact"/>
        <w:rPr>
          <w:rFonts w:ascii="Arial" w:cs="Arial" w:eastAsia="Arial" w:hAnsi="Arial"/>
          <w:sz w:val="22"/>
          <w:szCs w:val="22"/>
          <w:color w:val="auto"/>
        </w:rPr>
      </w:pPr>
    </w:p>
    <w:p>
      <w:pPr>
        <w:ind w:left="640" w:right="380" w:hanging="328"/>
        <w:spacing w:after="0" w:line="247" w:lineRule="auto"/>
        <w:tabs>
          <w:tab w:leader="none" w:pos="635" w:val="left"/>
        </w:tabs>
        <w:numPr>
          <w:ilvl w:val="0"/>
          <w:numId w:val="3"/>
        </w:numPr>
        <w:rPr>
          <w:rFonts w:ascii="Arial" w:cs="Arial" w:eastAsia="Arial" w:hAnsi="Arial"/>
          <w:sz w:val="22"/>
          <w:szCs w:val="22"/>
          <w:color w:val="auto"/>
        </w:rPr>
      </w:pPr>
      <w:r>
        <w:rPr>
          <w:rFonts w:ascii="Arial" w:cs="Arial" w:eastAsia="Arial" w:hAnsi="Arial"/>
          <w:sz w:val="20"/>
          <w:szCs w:val="20"/>
          <w:color w:val="auto"/>
        </w:rPr>
        <w:t>Interest expense decreased to $44 million compared to $46 million in the fourth quarter of 2021 due to lower average debt of $3.1 billion, resulting in net leverage of 2.44x.</w:t>
      </w:r>
    </w:p>
    <w:p>
      <w:pPr>
        <w:spacing w:after="0" w:line="245" w:lineRule="exact"/>
        <w:rPr>
          <w:rFonts w:ascii="Arial" w:cs="Arial" w:eastAsia="Arial" w:hAnsi="Arial"/>
          <w:sz w:val="22"/>
          <w:szCs w:val="22"/>
          <w:color w:val="auto"/>
        </w:rPr>
      </w:pPr>
    </w:p>
    <w:p>
      <w:pPr>
        <w:ind w:left="640" w:hanging="328"/>
        <w:spacing w:after="0"/>
        <w:tabs>
          <w:tab w:leader="none" w:pos="640" w:val="left"/>
        </w:tabs>
        <w:numPr>
          <w:ilvl w:val="0"/>
          <w:numId w:val="3"/>
        </w:numPr>
        <w:rPr>
          <w:rFonts w:ascii="Arial" w:cs="Arial" w:eastAsia="Arial" w:hAnsi="Arial"/>
          <w:sz w:val="22"/>
          <w:szCs w:val="22"/>
          <w:color w:val="auto"/>
        </w:rPr>
      </w:pPr>
      <w:r>
        <w:rPr>
          <w:rFonts w:ascii="Arial" w:cs="Arial" w:eastAsia="Arial" w:hAnsi="Arial"/>
          <w:sz w:val="20"/>
          <w:szCs w:val="20"/>
          <w:color w:val="auto"/>
        </w:rPr>
        <w:t>GAAP and non-GAAP earnings per diluted share were $0.97 and $0.98, respectively.</w:t>
      </w:r>
    </w:p>
    <w:p>
      <w:pPr>
        <w:spacing w:after="0" w:line="246" w:lineRule="exact"/>
        <w:rPr>
          <w:rFonts w:ascii="Arial" w:cs="Arial" w:eastAsia="Arial" w:hAnsi="Arial"/>
          <w:sz w:val="22"/>
          <w:szCs w:val="22"/>
          <w:color w:val="auto"/>
        </w:rPr>
      </w:pPr>
    </w:p>
    <w:p>
      <w:pPr>
        <w:ind w:left="640" w:hanging="328"/>
        <w:spacing w:after="0"/>
        <w:tabs>
          <w:tab w:leader="none" w:pos="640" w:val="left"/>
        </w:tabs>
        <w:numPr>
          <w:ilvl w:val="0"/>
          <w:numId w:val="3"/>
        </w:numPr>
        <w:rPr>
          <w:rFonts w:ascii="Arial" w:cs="Arial" w:eastAsia="Arial" w:hAnsi="Arial"/>
          <w:sz w:val="22"/>
          <w:szCs w:val="22"/>
          <w:color w:val="auto"/>
        </w:rPr>
      </w:pPr>
      <w:r>
        <w:rPr>
          <w:rFonts w:ascii="Arial" w:cs="Arial" w:eastAsia="Arial" w:hAnsi="Arial"/>
          <w:sz w:val="20"/>
          <w:szCs w:val="20"/>
          <w:color w:val="auto"/>
        </w:rPr>
        <w:t>Free cash flow</w:t>
      </w:r>
      <w:r>
        <w:rPr>
          <w:rFonts w:ascii="Arial" w:cs="Arial" w:eastAsia="Arial" w:hAnsi="Arial"/>
          <w:sz w:val="25"/>
          <w:szCs w:val="25"/>
          <w:color w:val="auto"/>
          <w:vertAlign w:val="superscript"/>
        </w:rPr>
        <w:t>3</w:t>
      </w:r>
      <w:r>
        <w:rPr>
          <w:rFonts w:ascii="Arial" w:cs="Arial" w:eastAsia="Arial" w:hAnsi="Arial"/>
          <w:sz w:val="20"/>
          <w:szCs w:val="20"/>
          <w:color w:val="auto"/>
        </w:rPr>
        <w:t xml:space="preserve"> was $297 million for the quarter.</w:t>
      </w:r>
    </w:p>
    <w:p>
      <w:pPr>
        <w:ind w:left="1940" w:right="360" w:hanging="324"/>
        <w:spacing w:after="0" w:line="241"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9"/>
          <w:szCs w:val="19"/>
          <w:color w:val="auto"/>
        </w:rPr>
        <w:t>For the trailing two-year period ending December 31, 2022, free cash flow as a percentage of revenue</w:t>
      </w:r>
      <w:r>
        <w:rPr>
          <w:rFonts w:ascii="Arial" w:cs="Arial" w:eastAsia="Arial" w:hAnsi="Arial"/>
          <w:sz w:val="22"/>
          <w:szCs w:val="22"/>
          <w:color w:val="auto"/>
        </w:rPr>
        <w:t xml:space="preserve"> </w:t>
      </w:r>
      <w:r>
        <w:rPr>
          <w:rFonts w:ascii="Arial" w:cs="Arial" w:eastAsia="Arial" w:hAnsi="Arial"/>
          <w:sz w:val="19"/>
          <w:szCs w:val="19"/>
          <w:color w:val="auto"/>
        </w:rPr>
        <w:t>was 21.8 percent.</w:t>
      </w:r>
    </w:p>
    <w:p>
      <w:pPr>
        <w:spacing w:after="0" w:line="251" w:lineRule="exact"/>
        <w:rPr>
          <w:rFonts w:ascii="Arial" w:cs="Arial" w:eastAsia="Arial" w:hAnsi="Arial"/>
          <w:sz w:val="22"/>
          <w:szCs w:val="22"/>
          <w:color w:val="auto"/>
        </w:rPr>
      </w:pPr>
    </w:p>
    <w:p>
      <w:pPr>
        <w:ind w:left="640" w:hanging="328"/>
        <w:spacing w:after="0"/>
        <w:tabs>
          <w:tab w:leader="none" w:pos="640" w:val="left"/>
        </w:tabs>
        <w:numPr>
          <w:ilvl w:val="0"/>
          <w:numId w:val="3"/>
        </w:numPr>
        <w:rPr>
          <w:rFonts w:ascii="Arial" w:cs="Arial" w:eastAsia="Arial" w:hAnsi="Arial"/>
          <w:sz w:val="22"/>
          <w:szCs w:val="22"/>
          <w:color w:val="auto"/>
        </w:rPr>
      </w:pPr>
      <w:r>
        <w:rPr>
          <w:rFonts w:ascii="Arial" w:cs="Arial" w:eastAsia="Arial" w:hAnsi="Arial"/>
          <w:sz w:val="20"/>
          <w:szCs w:val="20"/>
          <w:color w:val="auto"/>
        </w:rPr>
        <w:t>Total cash at the end of the quarter was $552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0" w:hanging="74"/>
        <w:spacing w:after="0"/>
        <w:tabs>
          <w:tab w:leader="none" w:pos="8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“Pro forma” reflects our 2019 acquisitions of certain television stations divested by Gray, Dispatch, Nexstar and Tribune as if they had been completed on January 1, 2018</w:t>
      </w:r>
    </w:p>
    <w:p>
      <w:pPr>
        <w:spacing w:after="0" w:line="21" w:lineRule="exact"/>
        <w:rPr>
          <w:rFonts w:ascii="Arial" w:cs="Arial" w:eastAsia="Arial" w:hAnsi="Arial"/>
          <w:sz w:val="16"/>
          <w:szCs w:val="16"/>
          <w:color w:val="auto"/>
          <w:vertAlign w:val="superscript"/>
        </w:rPr>
      </w:pPr>
    </w:p>
    <w:p>
      <w:pPr>
        <w:jc w:val="both"/>
        <w:ind w:right="8840"/>
        <w:spacing w:after="0" w:line="347" w:lineRule="auto"/>
        <w:rPr>
          <w:rFonts w:ascii="Arial" w:cs="Arial" w:eastAsia="Arial" w:hAnsi="Arial"/>
          <w:sz w:val="16"/>
          <w:szCs w:val="16"/>
          <w:color w:val="auto"/>
          <w:vertAlign w:val="superscript"/>
        </w:rPr>
      </w:pPr>
      <w:r>
        <w:rPr>
          <w:rFonts w:ascii="Arial" w:cs="Arial" w:eastAsia="Arial" w:hAnsi="Arial"/>
          <w:sz w:val="15"/>
          <w:szCs w:val="15"/>
          <w:color w:val="auto"/>
          <w:vertAlign w:val="superscript"/>
        </w:rPr>
        <w:t>2</w:t>
      </w:r>
      <w:r>
        <w:rPr>
          <w:rFonts w:ascii="Arial" w:cs="Arial" w:eastAsia="Arial" w:hAnsi="Arial"/>
          <w:sz w:val="12"/>
          <w:szCs w:val="12"/>
          <w:color w:val="auto"/>
        </w:rPr>
        <w:t xml:space="preserve"> A non-GAAP measure detailed in Table 3 </w:t>
      </w:r>
      <w:r>
        <w:rPr>
          <w:rFonts w:ascii="Arial" w:cs="Arial" w:eastAsia="Arial" w:hAnsi="Arial"/>
          <w:sz w:val="15"/>
          <w:szCs w:val="15"/>
          <w:color w:val="auto"/>
          <w:vertAlign w:val="superscript"/>
        </w:rPr>
        <w:t>3</w:t>
      </w:r>
      <w:r>
        <w:rPr>
          <w:rFonts w:ascii="Arial" w:cs="Arial" w:eastAsia="Arial" w:hAnsi="Arial"/>
          <w:sz w:val="12"/>
          <w:szCs w:val="12"/>
          <w:color w:val="auto"/>
        </w:rPr>
        <w:t xml:space="preserve"> A non-GAAP measure detailed in 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-408940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0"/>
          </w:cols>
          <w:pgMar w:left="340" w:top="914"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FULL-YEAR FINANCIAL HIGHLIGHTS:</w:t>
      </w:r>
    </w:p>
    <w:p>
      <w:pPr>
        <w:spacing w:after="0" w:line="258" w:lineRule="exact"/>
        <w:rPr>
          <w:sz w:val="20"/>
          <w:szCs w:val="20"/>
          <w:color w:val="auto"/>
        </w:rPr>
      </w:pPr>
    </w:p>
    <w:p>
      <w:pPr>
        <w:ind w:left="660" w:right="560" w:hanging="328"/>
        <w:spacing w:after="0" w:line="250"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Total company revenue was a record $3.3 billion, up ten percent year-over-year, driven by strong growth in political revenue and record subscription revenue despite AMS revenue declines as a result of political displacement and macroeconomic headwinds.</w:t>
      </w:r>
    </w:p>
    <w:p>
      <w:pPr>
        <w:spacing w:after="0" w:line="1" w:lineRule="exact"/>
        <w:rPr>
          <w:rFonts w:ascii="Arial" w:cs="Arial" w:eastAsia="Arial" w:hAnsi="Arial"/>
          <w:sz w:val="20"/>
          <w:szCs w:val="20"/>
          <w:color w:val="auto"/>
        </w:rPr>
      </w:pPr>
    </w:p>
    <w:p>
      <w:pPr>
        <w:ind w:left="1960" w:right="140" w:hanging="324"/>
        <w:spacing w:after="0" w:line="267" w:lineRule="auto"/>
        <w:rPr>
          <w:rFonts w:ascii="Arial" w:cs="Arial" w:eastAsia="Arial" w:hAnsi="Arial"/>
          <w:sz w:val="20"/>
          <w:szCs w:val="20"/>
          <w:color w:val="auto"/>
        </w:rPr>
      </w:pPr>
      <w:r>
        <w:rPr>
          <w:rFonts w:ascii="Arial" w:cs="Arial" w:eastAsia="Arial" w:hAnsi="Arial"/>
          <w:sz w:val="20"/>
          <w:szCs w:val="20"/>
          <w:color w:val="auto"/>
        </w:rPr>
        <w:t>– Compared to 2020, total company revenue was up 12 percent driven by record subscription revenue and growth in AMS revenue fueled by Premion, partially offset by reduced political revenue.</w:t>
      </w:r>
    </w:p>
    <w:p>
      <w:pPr>
        <w:spacing w:after="0" w:line="199" w:lineRule="exact"/>
        <w:rPr>
          <w:rFonts w:ascii="Arial" w:cs="Arial" w:eastAsia="Arial" w:hAnsi="Arial"/>
          <w:sz w:val="20"/>
          <w:szCs w:val="20"/>
          <w:color w:val="auto"/>
        </w:rPr>
      </w:pPr>
    </w:p>
    <w:p>
      <w:pPr>
        <w:ind w:left="660" w:right="400" w:hanging="328"/>
        <w:spacing w:after="0" w:line="271"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Record subscription revenue of $1.5 billion was up four percent year-over-year, driven by rate increases and partially offset by subscriber declines.</w:t>
      </w:r>
    </w:p>
    <w:p>
      <w:pPr>
        <w:spacing w:after="0" w:line="196" w:lineRule="exact"/>
        <w:rPr>
          <w:rFonts w:ascii="Arial" w:cs="Arial" w:eastAsia="Arial" w:hAnsi="Arial"/>
          <w:sz w:val="20"/>
          <w:szCs w:val="20"/>
          <w:color w:val="auto"/>
        </w:rPr>
      </w:pPr>
    </w:p>
    <w:p>
      <w:pPr>
        <w:ind w:left="660" w:right="220" w:hanging="328"/>
        <w:spacing w:after="0" w:line="251"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AMS revenue was $1.4 billion, down five percent year-over-year due to displacement driven by strong political revenue and continued macroeconomic headwinds. Several categories grew year-over-year such as entertainment, travel and tourism, services, and home improvement. Auto advertising saw sequential improvement throughout the year finishing with strong growth in the fourth quarter.</w:t>
      </w:r>
    </w:p>
    <w:p>
      <w:pPr>
        <w:ind w:left="1960" w:right="660" w:hanging="324"/>
        <w:spacing w:after="0" w:line="253" w:lineRule="auto"/>
        <w:rPr>
          <w:rFonts w:ascii="Arial" w:cs="Arial" w:eastAsia="Arial" w:hAnsi="Arial"/>
          <w:sz w:val="20"/>
          <w:szCs w:val="20"/>
          <w:color w:val="auto"/>
        </w:rPr>
      </w:pPr>
      <w:r>
        <w:rPr>
          <w:rFonts w:ascii="Arial" w:cs="Arial" w:eastAsia="Arial" w:hAnsi="Arial"/>
          <w:sz w:val="20"/>
          <w:szCs w:val="20"/>
          <w:color w:val="auto"/>
        </w:rPr>
        <w:t>– Compared to 2020, AMS revenue was up 16 percent driven by increases in television and Premion advertising. Since 2020, advertising trends have seen significant broad-based strength across all advertising categories, except auto and insurance in this two-year comparison.</w:t>
      </w:r>
    </w:p>
    <w:p>
      <w:pPr>
        <w:spacing w:after="0" w:line="213" w:lineRule="exact"/>
        <w:rPr>
          <w:rFonts w:ascii="Arial" w:cs="Arial" w:eastAsia="Arial" w:hAnsi="Arial"/>
          <w:sz w:val="20"/>
          <w:szCs w:val="20"/>
          <w:color w:val="auto"/>
        </w:rPr>
      </w:pPr>
    </w:p>
    <w:p>
      <w:pPr>
        <w:ind w:left="660" w:right="480" w:hanging="328"/>
        <w:spacing w:after="0" w:line="287"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Political revenue was a record for a non-presidential election year at $341 million, up 21 percent from 2018 on a pro forma basis</w:t>
      </w:r>
      <w:r>
        <w:rPr>
          <w:rFonts w:ascii="Arial" w:cs="Arial" w:eastAsia="Arial" w:hAnsi="Arial"/>
          <w:sz w:val="25"/>
          <w:szCs w:val="25"/>
          <w:color w:val="auto"/>
          <w:vertAlign w:val="superscript"/>
        </w:rPr>
        <w:t>1</w:t>
      </w:r>
      <w:r>
        <w:rPr>
          <w:rFonts w:ascii="Arial" w:cs="Arial" w:eastAsia="Arial" w:hAnsi="Arial"/>
          <w:sz w:val="20"/>
          <w:szCs w:val="20"/>
          <w:color w:val="auto"/>
        </w:rPr>
        <w:t>.</w:t>
      </w:r>
    </w:p>
    <w:p>
      <w:pPr>
        <w:spacing w:after="0" w:line="96"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TEGNA achieved record net income of $631 million on a GAAP basis, or $637 million on a non-GAAP basis.</w:t>
      </w:r>
    </w:p>
    <w:p>
      <w:pPr>
        <w:spacing w:after="0" w:line="256" w:lineRule="exact"/>
        <w:rPr>
          <w:rFonts w:ascii="Arial" w:cs="Arial" w:eastAsia="Arial" w:hAnsi="Arial"/>
          <w:sz w:val="20"/>
          <w:szCs w:val="20"/>
          <w:color w:val="auto"/>
        </w:rPr>
      </w:pPr>
    </w:p>
    <w:p>
      <w:pPr>
        <w:ind w:left="660" w:right="100" w:hanging="328"/>
        <w:spacing w:after="0" w:line="231"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Total company Adjusted EBITDA</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was a record of $1.1 billion, representing an increase of 19 percent compared to 2021 driven by high-margin political and subscription revenues, as well as ongoing cost management to ensure efficient operations.</w:t>
      </w:r>
    </w:p>
    <w:p>
      <w:pPr>
        <w:ind w:left="1960" w:right="500" w:hanging="324"/>
        <w:spacing w:after="0" w:line="260" w:lineRule="auto"/>
        <w:rPr>
          <w:rFonts w:ascii="Arial" w:cs="Arial" w:eastAsia="Arial" w:hAnsi="Arial"/>
          <w:sz w:val="20"/>
          <w:szCs w:val="20"/>
          <w:color w:val="auto"/>
        </w:rPr>
      </w:pPr>
      <w:r>
        <w:rPr>
          <w:rFonts w:ascii="Arial" w:cs="Arial" w:eastAsia="Arial" w:hAnsi="Arial"/>
          <w:sz w:val="20"/>
          <w:szCs w:val="20"/>
          <w:color w:val="auto"/>
        </w:rPr>
        <w:t>– Compared to 2020, Adjusted EBITDA was up 11 percent reflecting growth in AMS and subscription revenues, partially offset by reduced high-margin political revenue due to the absence of presidential advertising spending.</w:t>
      </w:r>
    </w:p>
    <w:p>
      <w:pPr>
        <w:spacing w:after="0" w:line="193" w:lineRule="exact"/>
        <w:rPr>
          <w:rFonts w:ascii="Arial" w:cs="Arial" w:eastAsia="Arial" w:hAnsi="Arial"/>
          <w:sz w:val="20"/>
          <w:szCs w:val="20"/>
          <w:color w:val="auto"/>
        </w:rPr>
      </w:pPr>
    </w:p>
    <w:p>
      <w:pPr>
        <w:ind w:left="660" w:right="620" w:hanging="328"/>
        <w:spacing w:after="0" w:line="269" w:lineRule="auto"/>
        <w:tabs>
          <w:tab w:leader="none" w:pos="648" w:val="left"/>
        </w:tabs>
        <w:numPr>
          <w:ilvl w:val="0"/>
          <w:numId w:val="5"/>
        </w:numPr>
        <w:rPr>
          <w:rFonts w:ascii="Arial" w:cs="Arial" w:eastAsia="Arial" w:hAnsi="Arial"/>
          <w:sz w:val="19"/>
          <w:szCs w:val="19"/>
          <w:color w:val="auto"/>
        </w:rPr>
      </w:pPr>
      <w:r>
        <w:rPr>
          <w:rFonts w:ascii="Arial" w:cs="Arial" w:eastAsia="Arial" w:hAnsi="Arial"/>
          <w:sz w:val="19"/>
          <w:szCs w:val="19"/>
          <w:color w:val="auto"/>
        </w:rPr>
        <w:t>GAAP and non-GAAP operating expenses of $2.3 billion were up five percent and four percent year-over-year, respectively, with the increases predominantly driven by investments in Premion’s growth and programming costs.</w:t>
      </w:r>
    </w:p>
    <w:p>
      <w:pPr>
        <w:ind w:left="1960" w:right="1060" w:hanging="324"/>
        <w:spacing w:after="0" w:line="253" w:lineRule="auto"/>
        <w:rPr>
          <w:rFonts w:ascii="Arial" w:cs="Arial" w:eastAsia="Arial" w:hAnsi="Arial"/>
          <w:sz w:val="19"/>
          <w:szCs w:val="19"/>
          <w:color w:val="auto"/>
        </w:rPr>
      </w:pPr>
      <w:r>
        <w:rPr>
          <w:rFonts w:ascii="Arial" w:cs="Arial" w:eastAsia="Arial" w:hAnsi="Arial"/>
          <w:sz w:val="20"/>
          <w:szCs w:val="20"/>
          <w:color w:val="auto"/>
        </w:rPr>
        <w:t>– Non-GAAP expenses less Premion costs increased two percent from 2021, driven primarily by programming expenses.</w:t>
      </w:r>
    </w:p>
    <w:p>
      <w:pPr>
        <w:spacing w:after="0" w:line="1" w:lineRule="exact"/>
        <w:rPr>
          <w:rFonts w:ascii="Arial" w:cs="Arial" w:eastAsia="Arial" w:hAnsi="Arial"/>
          <w:sz w:val="19"/>
          <w:szCs w:val="19"/>
          <w:color w:val="auto"/>
        </w:rPr>
      </w:pPr>
    </w:p>
    <w:p>
      <w:pPr>
        <w:ind w:left="1960" w:right="180" w:hanging="324"/>
        <w:spacing w:after="0" w:line="253" w:lineRule="auto"/>
        <w:rPr>
          <w:rFonts w:ascii="Arial" w:cs="Arial" w:eastAsia="Arial" w:hAnsi="Arial"/>
          <w:sz w:val="19"/>
          <w:szCs w:val="19"/>
          <w:color w:val="auto"/>
        </w:rPr>
      </w:pPr>
      <w:r>
        <w:rPr>
          <w:rFonts w:ascii="Arial" w:cs="Arial" w:eastAsia="Arial" w:hAnsi="Arial"/>
          <w:sz w:val="20"/>
          <w:szCs w:val="20"/>
          <w:color w:val="auto"/>
        </w:rPr>
        <w:t>– Non-GAAP operating expenses less programming and Premion costs were down one percent compared to 2021.</w:t>
      </w:r>
    </w:p>
    <w:p>
      <w:pPr>
        <w:spacing w:after="0" w:line="212" w:lineRule="exact"/>
        <w:rPr>
          <w:rFonts w:ascii="Arial" w:cs="Arial" w:eastAsia="Arial" w:hAnsi="Arial"/>
          <w:sz w:val="19"/>
          <w:szCs w:val="19"/>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GAAP earnings per diluted share were $2.81 and non-GAAP earnings per diluted share were $2.83.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885"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TRANSACTION OVERVIEW</w:t>
      </w:r>
    </w:p>
    <w:p>
      <w:pPr>
        <w:spacing w:after="0" w:line="246"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On February 22, 2022, TEGNA Inc. and Standard General L.P. announced</w:t>
      </w:r>
      <w:r>
        <w:rPr>
          <w:rFonts w:ascii="Arial" w:cs="Arial" w:eastAsia="Arial" w:hAnsi="Arial"/>
          <w:sz w:val="25"/>
          <w:szCs w:val="25"/>
          <w:color w:val="auto"/>
          <w:vertAlign w:val="superscript"/>
        </w:rPr>
        <w:t>4</w:t>
      </w:r>
      <w:r>
        <w:rPr>
          <w:rFonts w:ascii="Arial" w:cs="Arial" w:eastAsia="Arial" w:hAnsi="Arial"/>
          <w:sz w:val="20"/>
          <w:szCs w:val="20"/>
          <w:color w:val="auto"/>
        </w:rPr>
        <w:t xml:space="preserve"> that TEGNA and an affiliate of Standard General entered into a definitive agreement under which TEGNA will be acquired by the Standard General affiliate for $24.00 per share in cash. TEGNA stockholders voted to approve the transaction</w:t>
      </w:r>
      <w:r>
        <w:rPr>
          <w:rFonts w:ascii="Arial" w:cs="Arial" w:eastAsia="Arial" w:hAnsi="Arial"/>
          <w:sz w:val="25"/>
          <w:szCs w:val="25"/>
          <w:color w:val="auto"/>
          <w:vertAlign w:val="superscript"/>
        </w:rPr>
        <w:t>5</w:t>
      </w:r>
      <w:r>
        <w:rPr>
          <w:rFonts w:ascii="Arial" w:cs="Arial" w:eastAsia="Arial" w:hAnsi="Arial"/>
          <w:sz w:val="20"/>
          <w:szCs w:val="20"/>
          <w:color w:val="auto"/>
        </w:rPr>
        <w:t xml:space="preserve"> at the special meeting of stockholders held on May 17, 2022. On February 21, 2023, TEGNA elected, pursuant to the terms of the Merger Agreement, to extend the Outside Date (as defined in the Merger Agreement) from 5:00 p.m. Eastern time on February 22, 2023 to 5:00 p.m. Eastern time on May 22, 2023. All waiting periods under the Hart-Scott-Rodino Antitrust Improvements Act of 1976, as amended, applicable to the Merger and related transactions have expired. The closing of the transaction remains subject to the approval of the Federal Communications Commission (the "FCC") and customary closing conditions. On February 24, 2023, the FCC issued a hearing designation order with respect to the transaction. TEGNA is currently evaluating its options.</w:t>
      </w:r>
    </w:p>
    <w:p>
      <w:pPr>
        <w:spacing w:after="0" w:line="231" w:lineRule="exact"/>
        <w:rPr>
          <w:sz w:val="20"/>
          <w:szCs w:val="20"/>
          <w:color w:val="auto"/>
        </w:rPr>
      </w:pPr>
    </w:p>
    <w:p>
      <w:pPr>
        <w:ind w:right="280"/>
        <w:spacing w:after="0" w:line="262" w:lineRule="auto"/>
        <w:rPr>
          <w:sz w:val="20"/>
          <w:szCs w:val="20"/>
          <w:color w:val="auto"/>
        </w:rPr>
      </w:pPr>
      <w:r>
        <w:rPr>
          <w:rFonts w:ascii="Arial" w:cs="Arial" w:eastAsia="Arial" w:hAnsi="Arial"/>
          <w:sz w:val="20"/>
          <w:szCs w:val="20"/>
          <w:color w:val="auto"/>
        </w:rPr>
        <w:t>As a result of the pending transaction and as previously announced, TEGNA expects to continue to pay its regular quarterly dividend through the closing of the transaction, but has suspended share repurchases under our previously announced share repurchase program.</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CONTENT, PROGRAMMING AND ESG UPDATES</w:t>
      </w:r>
    </w:p>
    <w:p>
      <w:pPr>
        <w:spacing w:after="0" w:line="245" w:lineRule="exact"/>
        <w:rPr>
          <w:sz w:val="20"/>
          <w:szCs w:val="20"/>
          <w:color w:val="auto"/>
        </w:rPr>
      </w:pPr>
    </w:p>
    <w:p>
      <w:pPr>
        <w:ind w:left="660" w:right="40" w:hanging="328"/>
        <w:spacing w:after="0" w:line="269"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i w:val="1"/>
          <w:iCs w:val="1"/>
          <w:color w:val="auto"/>
        </w:rPr>
        <w:t xml:space="preserve">Continued Progress on Achieving 2025 Diversity, Equity and Inclusion Goals </w:t>
      </w:r>
      <w:r>
        <w:rPr>
          <w:rFonts w:ascii="Arial" w:cs="Arial" w:eastAsia="Arial" w:hAnsi="Arial"/>
          <w:sz w:val="20"/>
          <w:szCs w:val="20"/>
          <w:color w:val="auto"/>
        </w:rPr>
        <w:t>– Following our stated five-pillar plan, at the</w:t>
      </w:r>
      <w:r>
        <w:rPr>
          <w:rFonts w:ascii="Arial" w:cs="Arial" w:eastAsia="Arial" w:hAnsi="Arial"/>
          <w:sz w:val="20"/>
          <w:szCs w:val="20"/>
          <w:i w:val="1"/>
          <w:iCs w:val="1"/>
          <w:color w:val="auto"/>
        </w:rPr>
        <w:t xml:space="preserve"> </w:t>
      </w:r>
      <w:r>
        <w:rPr>
          <w:rFonts w:ascii="Arial" w:cs="Arial" w:eastAsia="Arial" w:hAnsi="Arial"/>
          <w:sz w:val="20"/>
          <w:szCs w:val="20"/>
          <w:color w:val="auto"/>
        </w:rPr>
        <w:t>end of 2022, we continued to make progress against our 2025 DE&amp;I goals to grow Black, Indigenous and People of Color (BIPOC) representation in content teams, content leadership and company leadership.</w:t>
      </w:r>
    </w:p>
    <w:p>
      <w:pPr>
        <w:spacing w:after="0" w:line="185" w:lineRule="exact"/>
        <w:rPr>
          <w:rFonts w:ascii="Arial" w:cs="Arial" w:eastAsia="Arial" w:hAnsi="Arial"/>
          <w:sz w:val="20"/>
          <w:szCs w:val="20"/>
          <w:color w:val="auto"/>
        </w:rPr>
      </w:pPr>
    </w:p>
    <w:p>
      <w:pPr>
        <w:ind w:left="660" w:right="40" w:hanging="328"/>
        <w:spacing w:after="0" w:line="262"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i w:val="1"/>
          <w:iCs w:val="1"/>
          <w:color w:val="auto"/>
        </w:rPr>
        <w:t xml:space="preserve">2022 Key ESG Highlights and SASB Disclosure </w:t>
      </w:r>
      <w:r>
        <w:rPr>
          <w:rFonts w:ascii="Arial" w:cs="Arial" w:eastAsia="Arial" w:hAnsi="Arial"/>
          <w:sz w:val="20"/>
          <w:szCs w:val="20"/>
          <w:color w:val="auto"/>
        </w:rPr>
        <w:t>– Today, we published our 2022 Key Highlights and SASB Disclosure for</w:t>
      </w:r>
      <w:r>
        <w:rPr>
          <w:rFonts w:ascii="Arial" w:cs="Arial" w:eastAsia="Arial" w:hAnsi="Arial"/>
          <w:sz w:val="20"/>
          <w:szCs w:val="20"/>
          <w:i w:val="1"/>
          <w:iCs w:val="1"/>
          <w:color w:val="auto"/>
        </w:rPr>
        <w:t xml:space="preserve"> </w:t>
      </w:r>
      <w:r>
        <w:rPr>
          <w:rFonts w:ascii="Arial" w:cs="Arial" w:eastAsia="Arial" w:hAnsi="Arial"/>
          <w:sz w:val="20"/>
          <w:szCs w:val="20"/>
          <w:color w:val="auto"/>
        </w:rPr>
        <w:t>the Media &amp; Entertainment industry standard, which outline the steps we have taken to live our purpose of serving the greater good of our local communities.</w:t>
      </w:r>
    </w:p>
    <w:p>
      <w:pPr>
        <w:spacing w:after="0" w:line="205" w:lineRule="exact"/>
        <w:rPr>
          <w:rFonts w:ascii="Arial" w:cs="Arial" w:eastAsia="Arial" w:hAnsi="Arial"/>
          <w:sz w:val="20"/>
          <w:szCs w:val="20"/>
          <w:color w:val="auto"/>
        </w:rPr>
      </w:pPr>
    </w:p>
    <w:p>
      <w:pPr>
        <w:ind w:left="660" w:right="80" w:hanging="328"/>
        <w:spacing w:after="0" w:line="254"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i w:val="1"/>
          <w:iCs w:val="1"/>
          <w:color w:val="auto"/>
        </w:rPr>
        <w:t xml:space="preserve">TEGNA Stations’ Live, Local and Always on Streaming Apps Reach Nearly 800,000 Installs and over 1 billion Minutes Viewed in 2022 </w:t>
      </w:r>
      <w:r>
        <w:rPr>
          <w:rFonts w:ascii="Arial" w:cs="Arial" w:eastAsia="Arial" w:hAnsi="Arial"/>
          <w:sz w:val="20"/>
          <w:szCs w:val="20"/>
          <w:color w:val="auto"/>
        </w:rPr>
        <w:t>– During 2022, TEGNA stations’ streaming apps were installed nearly 800,000 times on Roku and Fire</w:t>
      </w:r>
      <w:r>
        <w:rPr>
          <w:rFonts w:ascii="Arial" w:cs="Arial" w:eastAsia="Arial" w:hAnsi="Arial"/>
          <w:sz w:val="20"/>
          <w:szCs w:val="20"/>
          <w:i w:val="1"/>
          <w:iCs w:val="1"/>
          <w:color w:val="auto"/>
        </w:rPr>
        <w:t xml:space="preserve"> </w:t>
      </w:r>
      <w:r>
        <w:rPr>
          <w:rFonts w:ascii="Arial" w:cs="Arial" w:eastAsia="Arial" w:hAnsi="Arial"/>
          <w:sz w:val="20"/>
          <w:szCs w:val="20"/>
          <w:color w:val="auto"/>
        </w:rPr>
        <w:t>TV and audiences logged more than 1 billion minutes of viewing. Stations’ streaming apps are a one-stop destination for local stories that matter and include local twenty-four-hour “Watch” streams, live local news, extended coverage, weather, station specials and investigations.</w:t>
      </w:r>
    </w:p>
    <w:p>
      <w:pPr>
        <w:spacing w:after="0" w:line="214" w:lineRule="exact"/>
        <w:rPr>
          <w:rFonts w:ascii="Arial" w:cs="Arial" w:eastAsia="Arial" w:hAnsi="Arial"/>
          <w:sz w:val="20"/>
          <w:szCs w:val="20"/>
          <w:color w:val="auto"/>
        </w:rPr>
      </w:pPr>
    </w:p>
    <w:p>
      <w:pPr>
        <w:ind w:left="660" w:right="40" w:hanging="328"/>
        <w:spacing w:after="0" w:line="259"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i w:val="1"/>
          <w:iCs w:val="1"/>
          <w:color w:val="auto"/>
        </w:rPr>
        <w:t xml:space="preserve">VERIFY Extends Reach in 2022 </w:t>
      </w:r>
      <w:r>
        <w:rPr>
          <w:rFonts w:ascii="Arial" w:cs="Arial" w:eastAsia="Arial" w:hAnsi="Arial"/>
          <w:sz w:val="20"/>
          <w:szCs w:val="20"/>
          <w:color w:val="auto"/>
        </w:rPr>
        <w:t>– Unique visitors to VERIFYThis.com, TEGNA’s national fact-checking brand dedicated</w:t>
      </w:r>
      <w:r>
        <w:rPr>
          <w:rFonts w:ascii="Arial" w:cs="Arial" w:eastAsia="Arial" w:hAnsi="Arial"/>
          <w:sz w:val="20"/>
          <w:szCs w:val="20"/>
          <w:i w:val="1"/>
          <w:iCs w:val="1"/>
          <w:color w:val="auto"/>
        </w:rPr>
        <w:t xml:space="preserve"> </w:t>
      </w:r>
      <w:r>
        <w:rPr>
          <w:rFonts w:ascii="Arial" w:cs="Arial" w:eastAsia="Arial" w:hAnsi="Arial"/>
          <w:sz w:val="20"/>
          <w:szCs w:val="20"/>
          <w:color w:val="auto"/>
        </w:rPr>
        <w:t>to combating misinformation, increased sequentially each quarter in 2022, attracting more than 12 million visitors overall. VERIFY has 385,000 followers across its dedicated channels. On TikTok, which represents the brand’s fastest growing audience, VERIFY’S followers grew from 4,000 to nearly 140,000 year-over-year.</w:t>
      </w:r>
    </w:p>
    <w:p>
      <w:pPr>
        <w:spacing w:after="0" w:line="195" w:lineRule="exact"/>
        <w:rPr>
          <w:rFonts w:ascii="Arial" w:cs="Arial" w:eastAsia="Arial" w:hAnsi="Arial"/>
          <w:sz w:val="20"/>
          <w:szCs w:val="20"/>
          <w:color w:val="auto"/>
        </w:rPr>
      </w:pPr>
    </w:p>
    <w:p>
      <w:pPr>
        <w:ind w:left="660" w:right="120" w:hanging="328"/>
        <w:spacing w:after="0" w:line="254"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i w:val="1"/>
          <w:iCs w:val="1"/>
          <w:color w:val="auto"/>
        </w:rPr>
        <w:t xml:space="preserve">Locked On Scores a Record Year </w:t>
      </w:r>
      <w:r>
        <w:rPr>
          <w:rFonts w:ascii="Arial" w:cs="Arial" w:eastAsia="Arial" w:hAnsi="Arial"/>
          <w:sz w:val="20"/>
          <w:szCs w:val="20"/>
          <w:color w:val="auto"/>
        </w:rPr>
        <w:t>– Locked On Podcast Network, which provides in-depth local coverage of every NBA,</w:t>
      </w:r>
      <w:r>
        <w:rPr>
          <w:rFonts w:ascii="Arial" w:cs="Arial" w:eastAsia="Arial" w:hAnsi="Arial"/>
          <w:sz w:val="20"/>
          <w:szCs w:val="20"/>
          <w:i w:val="1"/>
          <w:iCs w:val="1"/>
          <w:color w:val="auto"/>
        </w:rPr>
        <w:t xml:space="preserve"> </w:t>
      </w:r>
      <w:r>
        <w:rPr>
          <w:rFonts w:ascii="Arial" w:cs="Arial" w:eastAsia="Arial" w:hAnsi="Arial"/>
          <w:sz w:val="20"/>
          <w:szCs w:val="20"/>
          <w:color w:val="auto"/>
        </w:rPr>
        <w:t>NFL, MLB and NHL team plus major college sports teams, grew its total audience by 89 percent in 2022 and delivered more than 217 million podcast listens and views across platforms. In Q4, Locked On set a quarterly record with a total audience of more than 66 million listens and views. Expansion into video podcasts was a key driver of the network’s growth during the year, delivering a 515 percent increase in video views year-over-year. The network saw over 800 million minutes of watch time in 2022, a 502 percent increase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089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100" w:hanging="74"/>
        <w:spacing w:after="0"/>
        <w:tabs>
          <w:tab w:leader="none" w:pos="10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https://investors.tegna.com/news-releases/news-release-details/tegna-be-acquired-standard-general-2400-share</w:t>
      </w:r>
    </w:p>
    <w:p>
      <w:pPr>
        <w:spacing w:after="0" w:line="35" w:lineRule="exact"/>
        <w:rPr>
          <w:rFonts w:ascii="Arial" w:cs="Arial" w:eastAsia="Arial" w:hAnsi="Arial"/>
          <w:sz w:val="16"/>
          <w:szCs w:val="16"/>
          <w:color w:val="auto"/>
          <w:vertAlign w:val="superscript"/>
        </w:rPr>
      </w:pPr>
    </w:p>
    <w:p>
      <w:pPr>
        <w:ind w:left="20"/>
        <w:spacing w:after="0"/>
        <w:rPr>
          <w:rFonts w:ascii="Arial" w:cs="Arial" w:eastAsia="Arial" w:hAnsi="Arial"/>
          <w:sz w:val="16"/>
          <w:szCs w:val="16"/>
          <w:color w:val="auto"/>
          <w:vertAlign w:val="superscript"/>
        </w:rPr>
      </w:pPr>
      <w:r>
        <w:rPr>
          <w:rFonts w:ascii="Arial" w:cs="Arial" w:eastAsia="Arial" w:hAnsi="Arial"/>
          <w:sz w:val="16"/>
          <w:szCs w:val="16"/>
          <w:color w:val="auto"/>
          <w:vertAlign w:val="superscript"/>
        </w:rPr>
        <w:t>5</w:t>
      </w:r>
      <w:r>
        <w:rPr>
          <w:rFonts w:ascii="Arial" w:cs="Arial" w:eastAsia="Arial" w:hAnsi="Arial"/>
          <w:sz w:val="13"/>
          <w:szCs w:val="13"/>
          <w:color w:val="auto"/>
        </w:rPr>
        <w:t xml:space="preserve"> https://investors.tegna.com/static-files/72b77106-6f08-4145-afbe-64f57a4dbc8b</w:t>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885" w:right="339" w:bottom="1440" w:gutter="0" w:footer="0" w:header="0"/>
        </w:sectPr>
      </w:pPr>
    </w:p>
    <w:bookmarkStart w:id="8" w:name="page9"/>
    <w:bookmarkEnd w:id="8"/>
    <w:p>
      <w:pPr>
        <w:ind w:left="634" w:right="40" w:hanging="328"/>
        <w:spacing w:after="0" w:line="272" w:lineRule="auto"/>
        <w:tabs>
          <w:tab w:leader="none" w:pos="622" w:val="left"/>
        </w:tabs>
        <w:numPr>
          <w:ilvl w:val="0"/>
          <w:numId w:val="8"/>
        </w:numPr>
        <w:rPr>
          <w:rFonts w:ascii="Arial" w:cs="Arial" w:eastAsia="Arial" w:hAnsi="Arial"/>
          <w:sz w:val="20"/>
          <w:szCs w:val="20"/>
          <w:color w:val="auto"/>
        </w:rPr>
      </w:pPr>
      <w:r>
        <w:rPr>
          <w:rFonts w:ascii="Arial" w:cs="Arial" w:eastAsia="Arial" w:hAnsi="Arial"/>
          <w:sz w:val="20"/>
          <w:szCs w:val="20"/>
          <w:i w:val="1"/>
          <w:iCs w:val="1"/>
          <w:color w:val="auto"/>
        </w:rPr>
        <w:t xml:space="preserve">TEGNA Stations KARE and WXIA Honored with 2023 Alfred I. duPont-Columbia University Awards </w:t>
      </w:r>
      <w:r>
        <w:rPr>
          <w:rFonts w:ascii="Arial" w:cs="Arial" w:eastAsia="Arial" w:hAnsi="Arial"/>
          <w:sz w:val="20"/>
          <w:szCs w:val="20"/>
          <w:color w:val="auto"/>
        </w:rPr>
        <w:t>– KARE’s “The GAP:</w:t>
      </w:r>
      <w:r>
        <w:rPr>
          <w:rFonts w:ascii="Arial" w:cs="Arial" w:eastAsia="Arial" w:hAnsi="Arial"/>
          <w:sz w:val="20"/>
          <w:szCs w:val="20"/>
          <w:i w:val="1"/>
          <w:iCs w:val="1"/>
          <w:color w:val="auto"/>
        </w:rPr>
        <w:t xml:space="preserve"> </w:t>
      </w:r>
      <w:r>
        <w:rPr>
          <w:rFonts w:ascii="Arial" w:cs="Arial" w:eastAsia="Arial" w:hAnsi="Arial"/>
          <w:sz w:val="20"/>
          <w:szCs w:val="20"/>
          <w:color w:val="auto"/>
        </w:rPr>
        <w:t>Failure to Treat, Failure to Protect” and WXIA’s “#Keeping” received prestigious 2023 Alfred I. duPont-Columbia University Awards which honor excellence in broadcast, online and documentary journalism. (Press Release</w:t>
      </w:r>
      <w:r>
        <w:rPr>
          <w:rFonts w:ascii="Arial" w:cs="Arial" w:eastAsia="Arial" w:hAnsi="Arial"/>
          <w:sz w:val="25"/>
          <w:szCs w:val="25"/>
          <w:color w:val="auto"/>
          <w:vertAlign w:val="superscript"/>
        </w:rPr>
        <w:t>6</w:t>
      </w:r>
      <w:r>
        <w:rPr>
          <w:rFonts w:ascii="Arial" w:cs="Arial" w:eastAsia="Arial" w:hAnsi="Arial"/>
          <w:sz w:val="20"/>
          <w:szCs w:val="20"/>
          <w:color w:val="auto"/>
        </w:rPr>
        <w:t>)</w:t>
      </w:r>
    </w:p>
    <w:p>
      <w:pPr>
        <w:spacing w:after="0" w:line="111" w:lineRule="exact"/>
        <w:rPr>
          <w:rFonts w:ascii="Arial" w:cs="Arial" w:eastAsia="Arial" w:hAnsi="Arial"/>
          <w:sz w:val="20"/>
          <w:szCs w:val="20"/>
          <w:color w:val="auto"/>
        </w:rPr>
      </w:pPr>
    </w:p>
    <w:p>
      <w:pPr>
        <w:jc w:val="both"/>
        <w:ind w:left="634" w:right="240" w:hanging="328"/>
        <w:spacing w:after="0" w:line="259" w:lineRule="auto"/>
        <w:tabs>
          <w:tab w:leader="none" w:pos="622" w:val="left"/>
        </w:tabs>
        <w:numPr>
          <w:ilvl w:val="0"/>
          <w:numId w:val="8"/>
        </w:numPr>
        <w:rPr>
          <w:rFonts w:ascii="Arial" w:cs="Arial" w:eastAsia="Arial" w:hAnsi="Arial"/>
          <w:sz w:val="20"/>
          <w:szCs w:val="20"/>
          <w:color w:val="auto"/>
        </w:rPr>
      </w:pPr>
      <w:r>
        <w:rPr>
          <w:rFonts w:ascii="Arial" w:cs="Arial" w:eastAsia="Arial" w:hAnsi="Arial"/>
          <w:sz w:val="20"/>
          <w:szCs w:val="20"/>
          <w:i w:val="1"/>
          <w:iCs w:val="1"/>
          <w:color w:val="auto"/>
        </w:rPr>
        <w:t xml:space="preserve">TEGNA Employees Give Back to Their Local Communities </w:t>
      </w:r>
      <w:r>
        <w:rPr>
          <w:rFonts w:ascii="Arial" w:cs="Arial" w:eastAsia="Arial" w:hAnsi="Arial"/>
          <w:sz w:val="20"/>
          <w:szCs w:val="20"/>
          <w:color w:val="auto"/>
        </w:rPr>
        <w:t>– During 2022, TEGNA employees gave back to their local</w:t>
      </w:r>
      <w:r>
        <w:rPr>
          <w:rFonts w:ascii="Arial" w:cs="Arial" w:eastAsia="Arial" w:hAnsi="Arial"/>
          <w:sz w:val="20"/>
          <w:szCs w:val="20"/>
          <w:i w:val="1"/>
          <w:iCs w:val="1"/>
          <w:color w:val="auto"/>
        </w:rPr>
        <w:t xml:space="preserve"> </w:t>
      </w:r>
      <w:r>
        <w:rPr>
          <w:rFonts w:ascii="Arial" w:cs="Arial" w:eastAsia="Arial" w:hAnsi="Arial"/>
          <w:sz w:val="20"/>
          <w:szCs w:val="20"/>
          <w:color w:val="auto"/>
        </w:rPr>
        <w:t>communities by volunteering and donating to their favorite causes. As a result, the TEGNA Foundation approved more than 2,150 employee matching gifts, which combined with TEGNA Foundation matches totaled more than $2 million in donations to the causes and nonprofits employees care about.</w:t>
      </w:r>
    </w:p>
    <w:p>
      <w:pPr>
        <w:spacing w:after="0" w:line="195" w:lineRule="exact"/>
        <w:rPr>
          <w:rFonts w:ascii="Arial" w:cs="Arial" w:eastAsia="Arial" w:hAnsi="Arial"/>
          <w:sz w:val="20"/>
          <w:szCs w:val="20"/>
          <w:color w:val="auto"/>
        </w:rPr>
      </w:pPr>
    </w:p>
    <w:p>
      <w:pPr>
        <w:ind w:left="634" w:right="180" w:hanging="328"/>
        <w:spacing w:after="0" w:line="272" w:lineRule="auto"/>
        <w:tabs>
          <w:tab w:leader="none" w:pos="622" w:val="left"/>
        </w:tabs>
        <w:numPr>
          <w:ilvl w:val="0"/>
          <w:numId w:val="8"/>
        </w:numPr>
        <w:rPr>
          <w:rFonts w:ascii="Arial" w:cs="Arial" w:eastAsia="Arial" w:hAnsi="Arial"/>
          <w:sz w:val="20"/>
          <w:szCs w:val="20"/>
          <w:color w:val="auto"/>
        </w:rPr>
      </w:pPr>
      <w:r>
        <w:rPr>
          <w:rFonts w:ascii="Arial" w:cs="Arial" w:eastAsia="Arial" w:hAnsi="Arial"/>
          <w:sz w:val="20"/>
          <w:szCs w:val="20"/>
          <w:i w:val="1"/>
          <w:iCs w:val="1"/>
          <w:color w:val="auto"/>
        </w:rPr>
        <w:t xml:space="preserve">TEGNA Employees Receive Industry Honors </w:t>
      </w:r>
      <w:r>
        <w:rPr>
          <w:rFonts w:ascii="Arial" w:cs="Arial" w:eastAsia="Arial" w:hAnsi="Arial"/>
          <w:sz w:val="20"/>
          <w:szCs w:val="20"/>
          <w:color w:val="auto"/>
        </w:rPr>
        <w:t>– TEGNA employees received industry honors, including Boyd Huppert,</w:t>
      </w:r>
      <w:r>
        <w:rPr>
          <w:rFonts w:ascii="Arial" w:cs="Arial" w:eastAsia="Arial" w:hAnsi="Arial"/>
          <w:sz w:val="20"/>
          <w:szCs w:val="20"/>
          <w:i w:val="1"/>
          <w:iCs w:val="1"/>
          <w:color w:val="auto"/>
        </w:rPr>
        <w:t xml:space="preserve"> </w:t>
      </w:r>
      <w:r>
        <w:rPr>
          <w:rFonts w:ascii="Arial" w:cs="Arial" w:eastAsia="Arial" w:hAnsi="Arial"/>
          <w:sz w:val="20"/>
          <w:szCs w:val="20"/>
          <w:color w:val="auto"/>
        </w:rPr>
        <w:t>reporter at KARE and TEGNA’s chief storytelling coach, who is receiving a Lifetime Achievement Award from the Radio Television Digital News Foundation. (Press Release</w:t>
      </w:r>
      <w:r>
        <w:rPr>
          <w:rFonts w:ascii="Arial" w:cs="Arial" w:eastAsia="Arial" w:hAnsi="Arial"/>
          <w:sz w:val="25"/>
          <w:szCs w:val="25"/>
          <w:color w:val="auto"/>
          <w:vertAlign w:val="superscript"/>
        </w:rPr>
        <w:t>7</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5536565</wp:posOffset>
            </wp:positionV>
            <wp:extent cx="7089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4" w:hanging="74"/>
        <w:spacing w:after="0"/>
        <w:tabs>
          <w:tab w:leader="none" w:pos="74"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https://www.tegna.com/tegna-stations-kare-and-wxia-win-prestigious-2023-alfred-i-dupont-columbia-university-awards/</w:t>
      </w:r>
    </w:p>
    <w:p>
      <w:pPr>
        <w:ind w:left="74" w:hanging="74"/>
        <w:spacing w:after="0" w:line="228" w:lineRule="auto"/>
        <w:tabs>
          <w:tab w:leader="none" w:pos="74"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https://www.tegna.com/tegna-and-kare-congratulate-boyd-huppert-on-receiving-a-lifetime-achievement-award-from-the-radio-television-digital-news-foundation/</w:t>
      </w:r>
    </w:p>
    <w:p>
      <w:pPr>
        <w:sectPr>
          <w:pgSz w:w="11900" w:h="16838" w:orient="portrait"/>
          <w:cols w:equalWidth="0" w:num="1">
            <w:col w:w="11214"/>
          </w:cols>
          <w:pgMar w:left="346"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114"/>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14"/>
          </w:cols>
          <w:pgMar w:left="346" w:top="887"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b w:val="1"/>
          <w:bCs w:val="1"/>
          <w:color w:val="auto"/>
        </w:rPr>
        <w:t>FORWARD-LOOKING STATEMENTS</w:t>
      </w:r>
    </w:p>
    <w:p>
      <w:pPr>
        <w:spacing w:after="0" w:line="33"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This communication includes forward-looking statements within the meaning of the “safe harbor” provisions of Section 27A of the Securities Act of 1933, as amended, and Section 21E of the Securities Exchange Act of 1934, as amended. Forward-looking statements are based on a number of assumptions about future events and are subject to various risks, uncertainties and other factors that may cause actual results to differ materially from the views, beliefs, projections and estimates expressed in such statements. These risks, uncertainties and other factors include, but are not limited to, those discussed under “Risk Factors” in the Company’s Annual Report on Form 10-K for the fiscal year ended December 31, 2022, including the following: (1) the timing, receipt and terms and conditions of any required governmental or regulatory approvals of the proposed transaction between TEGNA and affiliates of Standard General and the related transactions involving the parties to the proposed transaction that could reduce the anticipated benefits of or cause the parties to abandon the proposed transaction, (2) risks related to the satisfaction of the conditions to closing the proposed transaction (including the failure to obtain necessary regulatory approvals), and the related transactions involving the parties to the proposed transaction, in the anticipated timeframe or at all, (3) the risk that any announcements relating to the proposed transaction could have adverse effects on the market price of the Company’s common stock, (4) disruption from the proposed transaction could make it more difficult to maintain business and operational relationships, including retaining and hiring key personnel and maintaining relationships with the Company’s customers, vendors and others with whom it does business, (5) the occurrence of any event, change or other circumstances that could give rise to the termination of the merger agreement entered into pursuant to the proposed transaction or of the transactions involving the parties to the proposed transaction, (6) risks related to disruption of management’s attention from the Company’s ongoing business operations due to the proposed transaction, (7) significant transaction costs, (8) the risk of litigation and/or regulatory actions related to the proposed transaction or unfavorable results from currently pending litigation and proceedings or litigation and proceedings that could arise in the future, (9) other business effects, including the effects of industry, market, economic, political or regulatory conditions, and (10) information technology system failures, data security breaches, data privacy compliance, network disruptions, and cybersecurity, malware or ransomware attacks. Potential regulatory actions, changes in consumer behaviors and impacts on and modifications to the Company’s operations and business relating thereto and the Company’s ability to execute on its standalone plan can also cause actual results to differ materially. The Company is not responsible for updating the information contained in this press release beyond the published date, or for changes made to this press release by wire service, Internet service providers or other media.</w:t>
      </w:r>
    </w:p>
    <w:p>
      <w:pPr>
        <w:spacing w:after="0" w:line="200" w:lineRule="exact"/>
        <w:rPr>
          <w:sz w:val="20"/>
          <w:szCs w:val="20"/>
          <w:color w:val="auto"/>
        </w:rPr>
      </w:pPr>
    </w:p>
    <w:p>
      <w:pPr>
        <w:spacing w:after="0" w:line="254" w:lineRule="exact"/>
        <w:rPr>
          <w:sz w:val="20"/>
          <w:szCs w:val="20"/>
          <w:color w:val="auto"/>
        </w:rPr>
      </w:pPr>
    </w:p>
    <w:p>
      <w:pPr>
        <w:spacing w:after="0" w:line="252" w:lineRule="auto"/>
        <w:rPr>
          <w:sz w:val="20"/>
          <w:szCs w:val="20"/>
          <w:color w:val="auto"/>
        </w:rPr>
      </w:pPr>
      <w:r>
        <w:rPr>
          <w:rFonts w:ascii="Arial" w:cs="Arial" w:eastAsia="Arial" w:hAnsi="Arial"/>
          <w:sz w:val="20"/>
          <w:szCs w:val="20"/>
          <w:color w:val="auto"/>
        </w:rPr>
        <w:t>Readers are cautioned not to place undue reliance on forward-looking statements made by or on behalf of the Company. Each such statement speaks only as of the day it was made. The Company undertakes no obligation to update or to revise any forward-looking statements. The factors described above cannot be controlled by the Company. When used in this communication, the words “believes,” “estimates,” “plans,” “expects,” “should,” “could,” “outlook,” and “anticipates” and similar expressions as they relate to the Company or its management are intended to identify forward-looking statements. Forward-looking statements in this communication may include, without limitation: statements about the potential benefits of the proposed acquisition, anticipated growth rates, the Company’s plans, objectives, expectations, and the anticipated timing of closing the proposed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885"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ADDITIONAL INFORMATION</w:t>
      </w:r>
    </w:p>
    <w:p>
      <w:pPr>
        <w:spacing w:after="0" w:line="33"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color w:val="auto"/>
        </w:rPr>
        <w:t>TEGNA Inc. (NYSE: TGNA) is an innovative media company that serves the greater good of our communities. Across platforms, TEGNA tells empowering stories, conducts impactful investigations and delivers innovative marketing solutions. With 64 television stations in 51 U.S. markets, TEGNA is the largest owner of top 4 network affiliates in the top 25 markets among independent station groups, reaching approximately 39 percent of all television households nationwide. TEGNA also owns leading multicast networks True Crime Network, Twist and Quest. TEGNA offers innovative solutions to help businesses reach consumers across television, digital and over-the-top (OTT) platforms, including Premion, TEGNA’s OTT advertising service. For more information, visit www.TEGNA.com.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w:t>
      </w:r>
    </w:p>
    <w:p>
      <w:pPr>
        <w:sectPr>
          <w:pgSz w:w="11900" w:h="16838" w:orient="portrait"/>
          <w:cols w:equalWidth="0" w:num="1">
            <w:col w:w="11240"/>
          </w:cols>
          <w:pgMar w:left="320" w:top="885" w:right="339" w:bottom="1440" w:gutter="0" w:footer="0" w:header="0"/>
        </w:sectPr>
      </w:pPr>
    </w:p>
    <w:p>
      <w:pPr>
        <w:spacing w:after="0" w:line="297" w:lineRule="exact"/>
        <w:rPr>
          <w:sz w:val="20"/>
          <w:szCs w:val="20"/>
          <w:color w:val="auto"/>
        </w:rPr>
      </w:pPr>
    </w:p>
    <w:p>
      <w:pPr>
        <w:ind w:left="620"/>
        <w:spacing w:after="0"/>
        <w:rPr>
          <w:sz w:val="20"/>
          <w:szCs w:val="20"/>
          <w:color w:val="auto"/>
        </w:rPr>
      </w:pPr>
      <w:r>
        <w:rPr>
          <w:rFonts w:ascii="Arial" w:cs="Arial" w:eastAsia="Arial" w:hAnsi="Arial"/>
          <w:sz w:val="19"/>
          <w:szCs w:val="19"/>
          <w:color w:val="auto"/>
        </w:rPr>
        <w:t>For media inquiries, contact:</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jc w:val="center"/>
        <w:ind w:right="2840"/>
        <w:spacing w:after="0"/>
        <w:rPr>
          <w:sz w:val="20"/>
          <w:szCs w:val="20"/>
          <w:color w:val="auto"/>
        </w:rPr>
      </w:pPr>
      <w:r>
        <w:rPr>
          <w:rFonts w:ascii="Arial" w:cs="Arial" w:eastAsia="Arial" w:hAnsi="Arial"/>
          <w:sz w:val="19"/>
          <w:szCs w:val="19"/>
          <w:color w:val="auto"/>
        </w:rPr>
        <w:t>For investor inquiries, contact:</w:t>
      </w:r>
    </w:p>
    <w:p>
      <w:pPr>
        <w:spacing w:after="0" w:line="65" w:lineRule="exact"/>
        <w:rPr>
          <w:sz w:val="20"/>
          <w:szCs w:val="20"/>
          <w:color w:val="auto"/>
        </w:rPr>
      </w:pPr>
    </w:p>
    <w:p>
      <w:pPr>
        <w:sectPr>
          <w:pgSz w:w="11900" w:h="16838" w:orient="portrait"/>
          <w:cols w:equalWidth="0" w:num="2">
            <w:col w:w="5040" w:space="720"/>
            <w:col w:w="5480"/>
          </w:cols>
          <w:pgMar w:left="320" w:top="885" w:right="339" w:bottom="1440" w:gutter="0" w:footer="0" w:header="0"/>
          <w:type w:val="continuous"/>
        </w:sectPr>
      </w:pPr>
    </w:p>
    <w:p>
      <w:pPr>
        <w:ind w:left="620"/>
        <w:spacing w:after="0"/>
        <w:rPr>
          <w:sz w:val="20"/>
          <w:szCs w:val="20"/>
          <w:color w:val="auto"/>
        </w:rPr>
      </w:pPr>
      <w:r>
        <w:rPr>
          <w:rFonts w:ascii="Arial" w:cs="Arial" w:eastAsia="Arial" w:hAnsi="Arial"/>
          <w:sz w:val="19"/>
          <w:szCs w:val="19"/>
          <w:color w:val="auto"/>
        </w:rPr>
        <w:t>Anne Bentley</w:t>
      </w:r>
    </w:p>
    <w:p>
      <w:pPr>
        <w:spacing w:after="0" w:line="20" w:lineRule="exact"/>
        <w:rPr>
          <w:sz w:val="20"/>
          <w:szCs w:val="20"/>
          <w:color w:val="auto"/>
        </w:rPr>
      </w:pPr>
      <w:r>
        <w:rPr>
          <w:sz w:val="20"/>
          <w:szCs w:val="20"/>
          <w:color w:val="auto"/>
        </w:rPr>
        <w:br w:type="column"/>
      </w:r>
    </w:p>
    <w:p>
      <w:pPr>
        <w:jc w:val="center"/>
        <w:ind w:right="4360"/>
        <w:spacing w:after="0"/>
        <w:rPr>
          <w:sz w:val="20"/>
          <w:szCs w:val="20"/>
          <w:color w:val="auto"/>
        </w:rPr>
      </w:pPr>
      <w:r>
        <w:rPr>
          <w:rFonts w:ascii="Arial" w:cs="Arial" w:eastAsia="Arial" w:hAnsi="Arial"/>
          <w:sz w:val="19"/>
          <w:szCs w:val="19"/>
          <w:color w:val="auto"/>
        </w:rPr>
        <w:t>Julie Heskett</w:t>
      </w:r>
    </w:p>
    <w:p>
      <w:pPr>
        <w:spacing w:after="0" w:line="65" w:lineRule="exact"/>
        <w:rPr>
          <w:sz w:val="20"/>
          <w:szCs w:val="20"/>
          <w:color w:val="auto"/>
        </w:rPr>
      </w:pPr>
    </w:p>
    <w:p>
      <w:pPr>
        <w:sectPr>
          <w:pgSz w:w="11900" w:h="16838" w:orient="portrait"/>
          <w:cols w:equalWidth="0" w:num="2">
            <w:col w:w="5040" w:space="720"/>
            <w:col w:w="5480"/>
          </w:cols>
          <w:pgMar w:left="320" w:top="885" w:right="339" w:bottom="1440" w:gutter="0" w:footer="0" w:header="0"/>
          <w:type w:val="continuous"/>
        </w:sectPr>
      </w:pPr>
    </w:p>
    <w:p>
      <w:pPr>
        <w:ind w:left="620"/>
        <w:spacing w:after="0"/>
        <w:rPr>
          <w:sz w:val="20"/>
          <w:szCs w:val="20"/>
          <w:color w:val="auto"/>
        </w:rPr>
      </w:pPr>
      <w:r>
        <w:rPr>
          <w:rFonts w:ascii="Arial" w:cs="Arial" w:eastAsia="Arial" w:hAnsi="Arial"/>
          <w:sz w:val="19"/>
          <w:szCs w:val="19"/>
          <w:color w:val="auto"/>
        </w:rPr>
        <w:t>Vice President, Corporate Communications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Senior Vice President, Financial Planning &amp; Analysis</w:t>
      </w:r>
    </w:p>
    <w:p>
      <w:pPr>
        <w:spacing w:after="0" w:line="65" w:lineRule="exact"/>
        <w:rPr>
          <w:sz w:val="20"/>
          <w:szCs w:val="20"/>
          <w:color w:val="auto"/>
        </w:rPr>
      </w:pPr>
    </w:p>
    <w:p>
      <w:pPr>
        <w:sectPr>
          <w:pgSz w:w="11900" w:h="16838" w:orient="portrait"/>
          <w:cols w:equalWidth="0" w:num="2">
            <w:col w:w="5040" w:space="720"/>
            <w:col w:w="5480"/>
          </w:cols>
          <w:pgMar w:left="320" w:top="885" w:right="339" w:bottom="1440" w:gutter="0" w:footer="0" w:header="0"/>
          <w:type w:val="continuous"/>
        </w:sectPr>
      </w:pPr>
    </w:p>
    <w:p>
      <w:pPr>
        <w:ind w:left="620"/>
        <w:spacing w:after="0"/>
        <w:rPr>
          <w:sz w:val="20"/>
          <w:szCs w:val="20"/>
          <w:color w:val="auto"/>
        </w:rPr>
      </w:pPr>
      <w:r>
        <w:rPr>
          <w:rFonts w:ascii="Arial" w:cs="Arial" w:eastAsia="Arial" w:hAnsi="Arial"/>
          <w:sz w:val="19"/>
          <w:szCs w:val="19"/>
          <w:color w:val="auto"/>
        </w:rPr>
        <w:t>703-873-6366</w:t>
      </w:r>
    </w:p>
    <w:p>
      <w:pPr>
        <w:spacing w:after="0" w:line="20" w:lineRule="exact"/>
        <w:rPr>
          <w:sz w:val="20"/>
          <w:szCs w:val="20"/>
          <w:color w:val="auto"/>
        </w:rPr>
      </w:pPr>
      <w:r>
        <w:rPr>
          <w:sz w:val="20"/>
          <w:szCs w:val="20"/>
          <w:color w:val="auto"/>
        </w:rPr>
        <w:br w:type="column"/>
      </w:r>
    </w:p>
    <w:p>
      <w:pPr>
        <w:jc w:val="center"/>
        <w:ind w:right="4260"/>
        <w:spacing w:after="0"/>
        <w:rPr>
          <w:sz w:val="20"/>
          <w:szCs w:val="20"/>
          <w:color w:val="auto"/>
        </w:rPr>
      </w:pPr>
      <w:r>
        <w:rPr>
          <w:rFonts w:ascii="Arial" w:cs="Arial" w:eastAsia="Arial" w:hAnsi="Arial"/>
          <w:sz w:val="19"/>
          <w:szCs w:val="19"/>
          <w:color w:val="auto"/>
        </w:rPr>
        <w:t>703-873-6747</w:t>
      </w:r>
    </w:p>
    <w:p>
      <w:pPr>
        <w:spacing w:after="0" w:line="65" w:lineRule="exact"/>
        <w:rPr>
          <w:sz w:val="20"/>
          <w:szCs w:val="20"/>
          <w:color w:val="auto"/>
        </w:rPr>
      </w:pPr>
    </w:p>
    <w:p>
      <w:pPr>
        <w:sectPr>
          <w:pgSz w:w="11900" w:h="16838" w:orient="portrait"/>
          <w:cols w:equalWidth="0" w:num="2">
            <w:col w:w="5040" w:space="720"/>
            <w:col w:w="5480"/>
          </w:cols>
          <w:pgMar w:left="320" w:top="885" w:right="339" w:bottom="1440" w:gutter="0" w:footer="0" w:header="0"/>
          <w:type w:val="continuous"/>
        </w:sectPr>
      </w:pPr>
    </w:p>
    <w:p>
      <w:pPr>
        <w:ind w:left="620"/>
        <w:spacing w:after="0"/>
        <w:rPr>
          <w:sz w:val="20"/>
          <w:szCs w:val="20"/>
          <w:color w:val="auto"/>
        </w:rPr>
      </w:pPr>
      <w:r>
        <w:rPr>
          <w:rFonts w:ascii="Arial" w:cs="Arial" w:eastAsia="Arial" w:hAnsi="Arial"/>
          <w:sz w:val="19"/>
          <w:szCs w:val="19"/>
          <w:color w:val="auto"/>
        </w:rPr>
        <w:t>abentley@TEGNA.com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investorrelations@TEGNA.com</w:t>
      </w:r>
    </w:p>
    <w:p>
      <w:pPr>
        <w:spacing w:after="0" w:line="200" w:lineRule="exact"/>
        <w:rPr>
          <w:sz w:val="20"/>
          <w:szCs w:val="20"/>
          <w:color w:val="auto"/>
        </w:rPr>
      </w:pPr>
    </w:p>
    <w:p>
      <w:pPr>
        <w:sectPr>
          <w:pgSz w:w="11900" w:h="16838" w:orient="portrait"/>
          <w:cols w:equalWidth="0" w:num="2">
            <w:col w:w="5040" w:space="720"/>
            <w:col w:w="5480"/>
          </w:cols>
          <w:pgMar w:left="320" w:top="885" w:right="339"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88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CONSOLIDATED STATEMENTS OF INCOME</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TEGNA Inc.</w:t>
      </w:r>
    </w:p>
    <w:p>
      <w:pPr>
        <w:spacing w:after="0"/>
        <w:rPr>
          <w:sz w:val="20"/>
          <w:szCs w:val="20"/>
          <w:color w:val="auto"/>
        </w:rPr>
      </w:pPr>
      <w:r>
        <w:rPr>
          <w:rFonts w:ascii="Arial" w:cs="Arial" w:eastAsia="Arial" w:hAnsi="Arial"/>
          <w:sz w:val="20"/>
          <w:szCs w:val="20"/>
          <w:color w:val="auto"/>
        </w:rPr>
        <w:t>Unaudited, in thousands of dollars (except per share amounts)</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73"/>
        </w:trPr>
        <w:tc>
          <w:tcPr>
            <w:tcW w:w="6420" w:type="dxa"/>
            <w:vAlign w:val="bottom"/>
          </w:tcPr>
          <w:p>
            <w:pPr>
              <w:spacing w:after="0"/>
              <w:rPr>
                <w:sz w:val="20"/>
                <w:szCs w:val="20"/>
                <w:color w:val="auto"/>
              </w:rPr>
            </w:pPr>
            <w:r>
              <w:rPr>
                <w:rFonts w:ascii="Arial" w:cs="Arial" w:eastAsia="Arial" w:hAnsi="Arial"/>
                <w:sz w:val="20"/>
                <w:szCs w:val="20"/>
                <w:b w:val="1"/>
                <w:bCs w:val="1"/>
                <w:color w:val="auto"/>
              </w:rPr>
              <w:t>Table No. 1</w:t>
            </w:r>
          </w:p>
        </w:tc>
        <w:tc>
          <w:tcPr>
            <w:tcW w:w="360" w:type="dxa"/>
            <w:vAlign w:val="bottom"/>
          </w:tcPr>
          <w:p>
            <w:pPr>
              <w:spacing w:after="0"/>
              <w:rPr>
                <w:sz w:val="23"/>
                <w:szCs w:val="23"/>
                <w:color w:val="auto"/>
              </w:rPr>
            </w:pPr>
          </w:p>
        </w:tc>
        <w:tc>
          <w:tcPr>
            <w:tcW w:w="3160" w:type="dxa"/>
            <w:vAlign w:val="bottom"/>
            <w:gridSpan w:val="6"/>
            <w:vMerge w:val="restart"/>
          </w:tcPr>
          <w:p>
            <w:pPr>
              <w:ind w:left="1000"/>
              <w:spacing w:after="0"/>
              <w:rPr>
                <w:sz w:val="20"/>
                <w:szCs w:val="20"/>
                <w:color w:val="auto"/>
              </w:rPr>
            </w:pPr>
            <w:r>
              <w:rPr>
                <w:rFonts w:ascii="Arial" w:cs="Arial" w:eastAsia="Arial" w:hAnsi="Arial"/>
                <w:sz w:val="20"/>
                <w:szCs w:val="20"/>
                <w:color w:val="auto"/>
              </w:rPr>
              <w:t>Quarter ended Dec. 31,</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160" w:type="dxa"/>
            <w:vAlign w:val="bottom"/>
            <w:gridSpan w:val="6"/>
            <w:vMerge w:val="continue"/>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
        </w:trPr>
        <w:tc>
          <w:tcPr>
            <w:tcW w:w="6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6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vMerge w:val="restart"/>
          </w:tcPr>
          <w:p>
            <w:pPr>
              <w:jc w:val="right"/>
              <w:ind w:right="501"/>
              <w:spacing w:after="0"/>
              <w:rPr>
                <w:sz w:val="20"/>
                <w:szCs w:val="20"/>
                <w:color w:val="auto"/>
              </w:rPr>
            </w:pPr>
            <w:r>
              <w:rPr>
                <w:rFonts w:ascii="Arial" w:cs="Arial" w:eastAsia="Arial" w:hAnsi="Arial"/>
                <w:sz w:val="20"/>
                <w:szCs w:val="20"/>
                <w:color w:val="auto"/>
              </w:rPr>
              <w:t>2022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vMerge w:val="restart"/>
          </w:tcPr>
          <w:p>
            <w:pPr>
              <w:jc w:val="right"/>
              <w:ind w:right="441"/>
              <w:spacing w:after="0"/>
              <w:rPr>
                <w:sz w:val="20"/>
                <w:szCs w:val="20"/>
                <w:color w:val="auto"/>
              </w:rPr>
            </w:pPr>
            <w:r>
              <w:rPr>
                <w:rFonts w:ascii="Arial" w:cs="Arial" w:eastAsia="Arial" w:hAnsi="Arial"/>
                <w:sz w:val="20"/>
                <w:szCs w:val="20"/>
                <w:color w:val="auto"/>
              </w:rPr>
              <w:t>2021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21"/>
              <w:spacing w:after="0"/>
              <w:rPr>
                <w:sz w:val="20"/>
                <w:szCs w:val="20"/>
                <w:color w:val="auto"/>
              </w:rPr>
            </w:pPr>
            <w:r>
              <w:rPr>
                <w:rFonts w:ascii="Arial" w:cs="Arial" w:eastAsia="Arial" w:hAnsi="Arial"/>
                <w:sz w:val="20"/>
                <w:szCs w:val="20"/>
                <w:color w:val="auto"/>
              </w:rPr>
              <w:t>% Increase</w:t>
            </w:r>
          </w:p>
        </w:tc>
        <w:tc>
          <w:tcPr>
            <w:tcW w:w="0" w:type="dxa"/>
            <w:vAlign w:val="bottom"/>
          </w:tcPr>
          <w:p>
            <w:pPr>
              <w:spacing w:after="0"/>
              <w:rPr>
                <w:sz w:val="1"/>
                <w:szCs w:val="1"/>
                <w:color w:val="auto"/>
              </w:rPr>
            </w:pPr>
          </w:p>
        </w:tc>
      </w:tr>
      <w:tr>
        <w:trPr>
          <w:trHeight w:val="272"/>
        </w:trPr>
        <w:tc>
          <w:tcPr>
            <w:tcW w:w="64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vMerge w:val="continue"/>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vMerge w:val="continue"/>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(Decrease)</w:t>
            </w:r>
          </w:p>
        </w:tc>
        <w:tc>
          <w:tcPr>
            <w:tcW w:w="0" w:type="dxa"/>
            <w:vAlign w:val="bottom"/>
          </w:tcPr>
          <w:p>
            <w:pPr>
              <w:spacing w:after="0"/>
              <w:rPr>
                <w:sz w:val="1"/>
                <w:szCs w:val="1"/>
                <w:color w:val="auto"/>
              </w:rPr>
            </w:pPr>
          </w:p>
        </w:tc>
      </w:tr>
      <w:tr>
        <w:trPr>
          <w:trHeight w:val="412"/>
        </w:trPr>
        <w:tc>
          <w:tcPr>
            <w:tcW w:w="6420" w:type="dxa"/>
            <w:vAlign w:val="bottom"/>
          </w:tcPr>
          <w:p>
            <w:pPr>
              <w:spacing w:after="0"/>
              <w:rPr>
                <w:sz w:val="20"/>
                <w:szCs w:val="20"/>
                <w:color w:val="auto"/>
              </w:rPr>
            </w:pPr>
            <w:r>
              <w:rPr>
                <w:rFonts w:ascii="Arial" w:cs="Arial" w:eastAsia="Arial" w:hAnsi="Arial"/>
                <w:sz w:val="20"/>
                <w:szCs w:val="20"/>
                <w:b w:val="1"/>
                <w:bCs w:val="1"/>
                <w:color w:val="auto"/>
              </w:rPr>
              <w:t>Revenues</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917,130</w:t>
            </w:r>
          </w:p>
        </w:tc>
        <w:tc>
          <w:tcPr>
            <w:tcW w:w="100" w:type="dxa"/>
            <w:vAlign w:val="bottom"/>
          </w:tcPr>
          <w:p>
            <w:pPr>
              <w:spacing w:after="0"/>
              <w:rPr>
                <w:sz w:val="24"/>
                <w:szCs w:val="24"/>
                <w:color w:val="auto"/>
              </w:rPr>
            </w:pPr>
          </w:p>
        </w:tc>
        <w:tc>
          <w:tcPr>
            <w:tcW w:w="3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774,647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18.4</w:t>
            </w:r>
          </w:p>
        </w:tc>
        <w:tc>
          <w:tcPr>
            <w:tcW w:w="0" w:type="dxa"/>
            <w:vAlign w:val="bottom"/>
          </w:tcPr>
          <w:p>
            <w:pPr>
              <w:spacing w:after="0"/>
              <w:rPr>
                <w:sz w:val="1"/>
                <w:szCs w:val="1"/>
                <w:color w:val="auto"/>
              </w:rPr>
            </w:pPr>
          </w:p>
        </w:tc>
      </w:tr>
      <w:tr>
        <w:trPr>
          <w:trHeight w:val="390"/>
        </w:trPr>
        <w:tc>
          <w:tcPr>
            <w:tcW w:w="6420" w:type="dxa"/>
            <w:vAlign w:val="bottom"/>
          </w:tcPr>
          <w:p>
            <w:pPr>
              <w:spacing w:after="0"/>
              <w:rPr>
                <w:sz w:val="20"/>
                <w:szCs w:val="20"/>
                <w:color w:val="auto"/>
              </w:rPr>
            </w:pPr>
            <w:r>
              <w:rPr>
                <w:rFonts w:ascii="Arial" w:cs="Arial" w:eastAsia="Arial" w:hAnsi="Arial"/>
                <w:sz w:val="20"/>
                <w:szCs w:val="20"/>
                <w:b w:val="1"/>
                <w:bCs w:val="1"/>
                <w:color w:val="auto"/>
              </w:rPr>
              <w:t>Operating expenses:</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420" w:type="dxa"/>
            <w:vAlign w:val="bottom"/>
          </w:tcPr>
          <w:p>
            <w:pPr>
              <w:spacing w:after="0"/>
              <w:rPr>
                <w:sz w:val="20"/>
                <w:szCs w:val="20"/>
                <w:color w:val="auto"/>
              </w:rPr>
            </w:pPr>
            <w:r>
              <w:rPr>
                <w:rFonts w:ascii="Arial" w:cs="Arial" w:eastAsia="Arial" w:hAnsi="Arial"/>
                <w:sz w:val="20"/>
                <w:szCs w:val="20"/>
                <w:color w:val="auto"/>
              </w:rPr>
              <w:t>Cost of revenues</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432,645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407,198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6.2</w:t>
            </w:r>
          </w:p>
        </w:tc>
        <w:tc>
          <w:tcPr>
            <w:tcW w:w="0" w:type="dxa"/>
            <w:vAlign w:val="bottom"/>
          </w:tcPr>
          <w:p>
            <w:pPr>
              <w:spacing w:after="0"/>
              <w:rPr>
                <w:sz w:val="1"/>
                <w:szCs w:val="1"/>
                <w:color w:val="auto"/>
              </w:rPr>
            </w:pPr>
          </w:p>
        </w:tc>
      </w:tr>
      <w:tr>
        <w:trPr>
          <w:trHeight w:val="256"/>
        </w:trPr>
        <w:tc>
          <w:tcPr>
            <w:tcW w:w="6420" w:type="dxa"/>
            <w:vAlign w:val="bottom"/>
          </w:tcPr>
          <w:p>
            <w:pPr>
              <w:spacing w:after="0"/>
              <w:rPr>
                <w:sz w:val="20"/>
                <w:szCs w:val="20"/>
                <w:color w:val="auto"/>
              </w:rPr>
            </w:pPr>
            <w:r>
              <w:rPr>
                <w:rFonts w:ascii="Arial" w:cs="Arial" w:eastAsia="Arial" w:hAnsi="Arial"/>
                <w:sz w:val="20"/>
                <w:szCs w:val="20"/>
                <w:color w:val="auto"/>
              </w:rPr>
              <w:t>Business units - Selling, general and administrative expenses</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114,394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109,746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57"/>
        </w:trPr>
        <w:tc>
          <w:tcPr>
            <w:tcW w:w="6420" w:type="dxa"/>
            <w:vAlign w:val="bottom"/>
          </w:tcPr>
          <w:p>
            <w:pPr>
              <w:spacing w:after="0"/>
              <w:rPr>
                <w:sz w:val="20"/>
                <w:szCs w:val="20"/>
                <w:color w:val="auto"/>
              </w:rPr>
            </w:pPr>
            <w:r>
              <w:rPr>
                <w:rFonts w:ascii="Arial" w:cs="Arial" w:eastAsia="Arial" w:hAnsi="Arial"/>
                <w:sz w:val="20"/>
                <w:szCs w:val="20"/>
                <w:color w:val="auto"/>
              </w:rPr>
              <w:t>Corporate - General and administrative expenses</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11,809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16,183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(27.0)</w:t>
            </w:r>
          </w:p>
        </w:tc>
        <w:tc>
          <w:tcPr>
            <w:tcW w:w="0" w:type="dxa"/>
            <w:vAlign w:val="bottom"/>
          </w:tcPr>
          <w:p>
            <w:pPr>
              <w:spacing w:after="0"/>
              <w:rPr>
                <w:sz w:val="1"/>
                <w:szCs w:val="1"/>
                <w:color w:val="auto"/>
              </w:rPr>
            </w:pPr>
          </w:p>
        </w:tc>
      </w:tr>
      <w:tr>
        <w:trPr>
          <w:trHeight w:val="257"/>
        </w:trPr>
        <w:tc>
          <w:tcPr>
            <w:tcW w:w="6420" w:type="dxa"/>
            <w:vAlign w:val="bottom"/>
          </w:tcPr>
          <w:p>
            <w:pPr>
              <w:spacing w:after="0"/>
              <w:rPr>
                <w:sz w:val="20"/>
                <w:szCs w:val="20"/>
                <w:color w:val="auto"/>
              </w:rPr>
            </w:pPr>
            <w:r>
              <w:rPr>
                <w:rFonts w:ascii="Arial" w:cs="Arial" w:eastAsia="Arial" w:hAnsi="Arial"/>
                <w:sz w:val="20"/>
                <w:szCs w:val="20"/>
                <w:color w:val="auto"/>
              </w:rPr>
              <w:t>Depreciation</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15,137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16,315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(7.2)</w:t>
            </w:r>
          </w:p>
        </w:tc>
        <w:tc>
          <w:tcPr>
            <w:tcW w:w="0" w:type="dxa"/>
            <w:vAlign w:val="bottom"/>
          </w:tcPr>
          <w:p>
            <w:pPr>
              <w:spacing w:after="0"/>
              <w:rPr>
                <w:sz w:val="1"/>
                <w:szCs w:val="1"/>
                <w:color w:val="auto"/>
              </w:rPr>
            </w:pPr>
          </w:p>
        </w:tc>
      </w:tr>
      <w:tr>
        <w:trPr>
          <w:trHeight w:val="257"/>
        </w:trPr>
        <w:tc>
          <w:tcPr>
            <w:tcW w:w="6420" w:type="dxa"/>
            <w:vAlign w:val="bottom"/>
          </w:tcPr>
          <w:p>
            <w:pPr>
              <w:spacing w:after="0"/>
              <w:rPr>
                <w:sz w:val="20"/>
                <w:szCs w:val="20"/>
                <w:color w:val="auto"/>
              </w:rPr>
            </w:pPr>
            <w:r>
              <w:rPr>
                <w:rFonts w:ascii="Arial" w:cs="Arial" w:eastAsia="Arial" w:hAnsi="Arial"/>
                <w:sz w:val="20"/>
                <w:szCs w:val="20"/>
                <w:color w:val="auto"/>
              </w:rPr>
              <w:t>Amortization of intangible assets</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14,930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15,704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261"/>
        </w:trPr>
        <w:tc>
          <w:tcPr>
            <w:tcW w:w="6420" w:type="dxa"/>
            <w:vAlign w:val="bottom"/>
          </w:tcPr>
          <w:p>
            <w:pPr>
              <w:spacing w:after="0"/>
              <w:rPr>
                <w:sz w:val="20"/>
                <w:szCs w:val="20"/>
                <w:color w:val="auto"/>
              </w:rPr>
            </w:pPr>
            <w:r>
              <w:rPr>
                <w:rFonts w:ascii="Arial" w:cs="Arial" w:eastAsia="Arial" w:hAnsi="Arial"/>
                <w:sz w:val="20"/>
                <w:szCs w:val="20"/>
                <w:color w:val="auto"/>
              </w:rPr>
              <w:t>Spectrum repacking reimbursements and other, net</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3"/>
        </w:trPr>
        <w:tc>
          <w:tcPr>
            <w:tcW w:w="6420" w:type="dxa"/>
            <w:vAlign w:val="bottom"/>
          </w:tcPr>
          <w:p>
            <w:pPr>
              <w:spacing w:after="0"/>
              <w:rPr>
                <w:sz w:val="20"/>
                <w:szCs w:val="20"/>
                <w:color w:val="auto"/>
              </w:rPr>
            </w:pPr>
            <w:r>
              <w:rPr>
                <w:rFonts w:ascii="Arial" w:cs="Arial" w:eastAsia="Arial" w:hAnsi="Arial"/>
                <w:sz w:val="20"/>
                <w:szCs w:val="20"/>
                <w:b w:val="1"/>
                <w:bCs w:val="1"/>
                <w:i w:val="1"/>
                <w:iCs w:val="1"/>
                <w:color w:val="auto"/>
              </w:rPr>
              <w:t>Total</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588,914</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565,233</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0"/>
                <w:szCs w:val="20"/>
                <w:color w:val="auto"/>
              </w:rPr>
            </w:pPr>
            <w:r>
              <w:rPr>
                <w:rFonts w:ascii="Arial" w:cs="Arial" w:eastAsia="Arial" w:hAnsi="Arial"/>
                <w:sz w:val="20"/>
                <w:szCs w:val="20"/>
                <w:b w:val="1"/>
                <w:bCs w:val="1"/>
                <w:i w:val="1"/>
                <w:iCs w:val="1"/>
                <w:color w:val="auto"/>
              </w:rPr>
              <w:t>Operating income</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328,216</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209,414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56.7</w:t>
            </w:r>
          </w:p>
        </w:tc>
        <w:tc>
          <w:tcPr>
            <w:tcW w:w="0" w:type="dxa"/>
            <w:vAlign w:val="bottom"/>
          </w:tcPr>
          <w:p>
            <w:pPr>
              <w:spacing w:after="0"/>
              <w:rPr>
                <w:sz w:val="1"/>
                <w:szCs w:val="1"/>
                <w:color w:val="auto"/>
              </w:rPr>
            </w:pPr>
          </w:p>
        </w:tc>
      </w:tr>
      <w:tr>
        <w:trPr>
          <w:trHeight w:val="377"/>
        </w:trPr>
        <w:tc>
          <w:tcPr>
            <w:tcW w:w="6420" w:type="dxa"/>
            <w:vAlign w:val="bottom"/>
          </w:tcPr>
          <w:p>
            <w:pPr>
              <w:spacing w:after="0"/>
              <w:rPr>
                <w:sz w:val="20"/>
                <w:szCs w:val="20"/>
                <w:color w:val="auto"/>
              </w:rPr>
            </w:pPr>
            <w:r>
              <w:rPr>
                <w:rFonts w:ascii="Arial" w:cs="Arial" w:eastAsia="Arial" w:hAnsi="Arial"/>
                <w:sz w:val="20"/>
                <w:szCs w:val="20"/>
                <w:b w:val="1"/>
                <w:bCs w:val="1"/>
                <w:color w:val="auto"/>
              </w:rPr>
              <w:t>Non-operating (expense) income:</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420" w:type="dxa"/>
            <w:vAlign w:val="bottom"/>
          </w:tcPr>
          <w:p>
            <w:pPr>
              <w:spacing w:after="0"/>
              <w:rPr>
                <w:sz w:val="20"/>
                <w:szCs w:val="20"/>
                <w:color w:val="auto"/>
              </w:rPr>
            </w:pPr>
            <w:r>
              <w:rPr>
                <w:rFonts w:ascii="Arial" w:cs="Arial" w:eastAsia="Arial" w:hAnsi="Arial"/>
                <w:sz w:val="20"/>
                <w:szCs w:val="20"/>
                <w:color w:val="auto"/>
              </w:rPr>
              <w:t>Equity loss in unconsolidated investments, net</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(248)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(3,997)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(93.8)</w:t>
            </w:r>
          </w:p>
        </w:tc>
        <w:tc>
          <w:tcPr>
            <w:tcW w:w="0" w:type="dxa"/>
            <w:vAlign w:val="bottom"/>
          </w:tcPr>
          <w:p>
            <w:pPr>
              <w:spacing w:after="0"/>
              <w:rPr>
                <w:sz w:val="1"/>
                <w:szCs w:val="1"/>
                <w:color w:val="auto"/>
              </w:rPr>
            </w:pPr>
          </w:p>
        </w:tc>
      </w:tr>
      <w:tr>
        <w:trPr>
          <w:trHeight w:val="257"/>
        </w:trPr>
        <w:tc>
          <w:tcPr>
            <w:tcW w:w="6420" w:type="dxa"/>
            <w:vAlign w:val="bottom"/>
          </w:tcPr>
          <w:p>
            <w:pPr>
              <w:spacing w:after="0"/>
              <w:rPr>
                <w:sz w:val="20"/>
                <w:szCs w:val="20"/>
                <w:color w:val="auto"/>
              </w:rPr>
            </w:pPr>
            <w:r>
              <w:rPr>
                <w:rFonts w:ascii="Arial" w:cs="Arial" w:eastAsia="Arial" w:hAnsi="Arial"/>
                <w:sz w:val="20"/>
                <w:szCs w:val="20"/>
                <w:color w:val="auto"/>
              </w:rPr>
              <w:t>Interest expense</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(44,046)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(46,079)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261"/>
        </w:trPr>
        <w:tc>
          <w:tcPr>
            <w:tcW w:w="6420" w:type="dxa"/>
            <w:vAlign w:val="bottom"/>
          </w:tcPr>
          <w:p>
            <w:pPr>
              <w:spacing w:after="0"/>
              <w:rPr>
                <w:sz w:val="20"/>
                <w:szCs w:val="20"/>
                <w:color w:val="auto"/>
              </w:rPr>
            </w:pPr>
            <w:r>
              <w:rPr>
                <w:rFonts w:ascii="Arial" w:cs="Arial" w:eastAsia="Arial" w:hAnsi="Arial"/>
                <w:sz w:val="20"/>
                <w:szCs w:val="20"/>
                <w:color w:val="auto"/>
              </w:rPr>
              <w:t>Other non-operating items, net</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4,667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2,485</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87.8</w:t>
            </w:r>
          </w:p>
        </w:tc>
        <w:tc>
          <w:tcPr>
            <w:tcW w:w="0" w:type="dxa"/>
            <w:vAlign w:val="bottom"/>
          </w:tcPr>
          <w:p>
            <w:pPr>
              <w:spacing w:after="0"/>
              <w:rPr>
                <w:sz w:val="1"/>
                <w:szCs w:val="1"/>
                <w:color w:val="auto"/>
              </w:rPr>
            </w:pPr>
          </w:p>
        </w:tc>
      </w:tr>
      <w:tr>
        <w:trPr>
          <w:trHeight w:val="253"/>
        </w:trPr>
        <w:tc>
          <w:tcPr>
            <w:tcW w:w="6420" w:type="dxa"/>
            <w:vAlign w:val="bottom"/>
          </w:tcPr>
          <w:p>
            <w:pPr>
              <w:spacing w:after="0"/>
              <w:rPr>
                <w:sz w:val="20"/>
                <w:szCs w:val="20"/>
                <w:color w:val="auto"/>
              </w:rPr>
            </w:pPr>
            <w:r>
              <w:rPr>
                <w:rFonts w:ascii="Arial" w:cs="Arial" w:eastAsia="Arial" w:hAnsi="Arial"/>
                <w:sz w:val="20"/>
                <w:szCs w:val="20"/>
                <w:b w:val="1"/>
                <w:bCs w:val="1"/>
                <w:i w:val="1"/>
                <w:iCs w:val="1"/>
                <w:color w:val="auto"/>
              </w:rPr>
              <w:t>Total</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(39,627)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(47,591)</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w:t>
            </w:r>
          </w:p>
        </w:tc>
        <w:tc>
          <w:tcPr>
            <w:tcW w:w="0" w:type="dxa"/>
            <w:vAlign w:val="bottom"/>
          </w:tcPr>
          <w:p>
            <w:pPr>
              <w:spacing w:after="0"/>
              <w:rPr>
                <w:sz w:val="1"/>
                <w:szCs w:val="1"/>
                <w:color w:val="auto"/>
              </w:rPr>
            </w:pPr>
          </w:p>
        </w:tc>
      </w:tr>
      <w:tr>
        <w:trPr>
          <w:trHeight w:val="377"/>
        </w:trPr>
        <w:tc>
          <w:tcPr>
            <w:tcW w:w="6420" w:type="dxa"/>
            <w:vAlign w:val="bottom"/>
          </w:tcPr>
          <w:p>
            <w:pPr>
              <w:spacing w:after="0"/>
              <w:rPr>
                <w:sz w:val="20"/>
                <w:szCs w:val="20"/>
                <w:color w:val="auto"/>
              </w:rPr>
            </w:pPr>
            <w:r>
              <w:rPr>
                <w:rFonts w:ascii="Arial" w:cs="Arial" w:eastAsia="Arial" w:hAnsi="Arial"/>
                <w:sz w:val="20"/>
                <w:szCs w:val="20"/>
                <w:b w:val="1"/>
                <w:bCs w:val="1"/>
                <w:color w:val="auto"/>
              </w:rPr>
              <w:t>Income before income taxes</w:t>
            </w:r>
          </w:p>
        </w:tc>
        <w:tc>
          <w:tcPr>
            <w:tcW w:w="3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288,589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161,823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78.3</w:t>
            </w:r>
          </w:p>
        </w:tc>
        <w:tc>
          <w:tcPr>
            <w:tcW w:w="0" w:type="dxa"/>
            <w:vAlign w:val="bottom"/>
          </w:tcPr>
          <w:p>
            <w:pPr>
              <w:spacing w:after="0"/>
              <w:rPr>
                <w:sz w:val="1"/>
                <w:szCs w:val="1"/>
                <w:color w:val="auto"/>
              </w:rPr>
            </w:pPr>
          </w:p>
        </w:tc>
      </w:tr>
      <w:tr>
        <w:trPr>
          <w:trHeight w:val="261"/>
        </w:trPr>
        <w:tc>
          <w:tcPr>
            <w:tcW w:w="6420" w:type="dxa"/>
            <w:vAlign w:val="bottom"/>
          </w:tcPr>
          <w:p>
            <w:pPr>
              <w:spacing w:after="0"/>
              <w:rPr>
                <w:sz w:val="20"/>
                <w:szCs w:val="20"/>
                <w:color w:val="auto"/>
              </w:rPr>
            </w:pPr>
            <w:r>
              <w:rPr>
                <w:rFonts w:ascii="Arial" w:cs="Arial" w:eastAsia="Arial" w:hAnsi="Arial"/>
                <w:sz w:val="20"/>
                <w:szCs w:val="20"/>
                <w:color w:val="auto"/>
              </w:rPr>
              <w:t>Provision for income taxes</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69,775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32,011</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5"/>
        </w:trPr>
        <w:tc>
          <w:tcPr>
            <w:tcW w:w="6420" w:type="dxa"/>
            <w:vAlign w:val="bottom"/>
          </w:tcPr>
          <w:p>
            <w:pPr>
              <w:spacing w:after="0"/>
              <w:rPr>
                <w:sz w:val="20"/>
                <w:szCs w:val="20"/>
                <w:color w:val="auto"/>
              </w:rPr>
            </w:pPr>
            <w:r>
              <w:rPr>
                <w:rFonts w:ascii="Arial" w:cs="Arial" w:eastAsia="Arial" w:hAnsi="Arial"/>
                <w:sz w:val="20"/>
                <w:szCs w:val="20"/>
                <w:b w:val="1"/>
                <w:bCs w:val="1"/>
                <w:i w:val="1"/>
                <w:iCs w:val="1"/>
                <w:color w:val="auto"/>
              </w:rPr>
              <w:t>Net income</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218,814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129,812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68.6</w:t>
            </w:r>
          </w:p>
        </w:tc>
        <w:tc>
          <w:tcPr>
            <w:tcW w:w="0" w:type="dxa"/>
            <w:vAlign w:val="bottom"/>
          </w:tcPr>
          <w:p>
            <w:pPr>
              <w:spacing w:after="0"/>
              <w:rPr>
                <w:sz w:val="1"/>
                <w:szCs w:val="1"/>
                <w:color w:val="auto"/>
              </w:rPr>
            </w:pPr>
          </w:p>
        </w:tc>
      </w:tr>
      <w:tr>
        <w:trPr>
          <w:trHeight w:val="261"/>
        </w:trPr>
        <w:tc>
          <w:tcPr>
            <w:tcW w:w="6420" w:type="dxa"/>
            <w:vAlign w:val="bottom"/>
          </w:tcPr>
          <w:p>
            <w:pPr>
              <w:spacing w:after="0"/>
              <w:rPr>
                <w:sz w:val="20"/>
                <w:szCs w:val="20"/>
                <w:color w:val="auto"/>
              </w:rPr>
            </w:pPr>
            <w:r>
              <w:rPr>
                <w:rFonts w:ascii="Arial" w:cs="Arial" w:eastAsia="Arial" w:hAnsi="Arial"/>
                <w:sz w:val="20"/>
                <w:szCs w:val="20"/>
                <w:color w:val="auto"/>
              </w:rPr>
              <w:t>Net income attributable to redeemable noncontrolling interest</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(213)</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(381)</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(44.1)</w:t>
            </w:r>
          </w:p>
        </w:tc>
        <w:tc>
          <w:tcPr>
            <w:tcW w:w="0" w:type="dxa"/>
            <w:vAlign w:val="bottom"/>
          </w:tcPr>
          <w:p>
            <w:pPr>
              <w:spacing w:after="0"/>
              <w:rPr>
                <w:sz w:val="1"/>
                <w:szCs w:val="1"/>
                <w:color w:val="auto"/>
              </w:rPr>
            </w:pPr>
          </w:p>
        </w:tc>
      </w:tr>
      <w:tr>
        <w:trPr>
          <w:trHeight w:val="253"/>
        </w:trPr>
        <w:tc>
          <w:tcPr>
            <w:tcW w:w="6420" w:type="dxa"/>
            <w:vAlign w:val="bottom"/>
          </w:tcPr>
          <w:p>
            <w:pPr>
              <w:spacing w:after="0"/>
              <w:rPr>
                <w:sz w:val="20"/>
                <w:szCs w:val="20"/>
                <w:color w:val="auto"/>
              </w:rPr>
            </w:pPr>
            <w:r>
              <w:rPr>
                <w:rFonts w:ascii="Arial" w:cs="Arial" w:eastAsia="Arial" w:hAnsi="Arial"/>
                <w:sz w:val="20"/>
                <w:szCs w:val="20"/>
                <w:b w:val="1"/>
                <w:bCs w:val="1"/>
                <w:color w:val="auto"/>
              </w:rPr>
              <w:t>Net income attributable to TEGNA Inc.</w:t>
            </w: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218,601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129,431</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68.9</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20"/>
                <w:szCs w:val="20"/>
                <w:b w:val="1"/>
                <w:bCs w:val="1"/>
                <w:i w:val="1"/>
                <w:iCs w:val="1"/>
                <w:color w:val="auto"/>
              </w:rPr>
              <w:t>Earnings per share:</w:t>
            </w: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3"/>
        </w:trPr>
        <w:tc>
          <w:tcPr>
            <w:tcW w:w="64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20" w:type="dxa"/>
            <w:vAlign w:val="bottom"/>
          </w:tcPr>
          <w:p>
            <w:pPr>
              <w:spacing w:after="0"/>
              <w:rPr>
                <w:sz w:val="20"/>
                <w:szCs w:val="20"/>
                <w:color w:val="auto"/>
              </w:rPr>
            </w:pPr>
            <w:r>
              <w:rPr>
                <w:rFonts w:ascii="Arial" w:cs="Arial" w:eastAsia="Arial" w:hAnsi="Arial"/>
                <w:sz w:val="20"/>
                <w:szCs w:val="20"/>
                <w:color w:val="auto"/>
              </w:rPr>
              <w:t>Basic</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0.97</w:t>
            </w:r>
          </w:p>
        </w:tc>
        <w:tc>
          <w:tcPr>
            <w:tcW w:w="100" w:type="dxa"/>
            <w:vAlign w:val="bottom"/>
          </w:tcPr>
          <w:p>
            <w:pPr>
              <w:spacing w:after="0"/>
              <w:rPr>
                <w:sz w:val="22"/>
                <w:szCs w:val="22"/>
                <w:color w:val="auto"/>
              </w:rPr>
            </w:pPr>
          </w:p>
        </w:tc>
        <w:tc>
          <w:tcPr>
            <w:tcW w:w="3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0.58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67.2</w:t>
            </w:r>
          </w:p>
        </w:tc>
        <w:tc>
          <w:tcPr>
            <w:tcW w:w="0" w:type="dxa"/>
            <w:vAlign w:val="bottom"/>
          </w:tcPr>
          <w:p>
            <w:pPr>
              <w:spacing w:after="0"/>
              <w:rPr>
                <w:sz w:val="1"/>
                <w:szCs w:val="1"/>
                <w:color w:val="auto"/>
              </w:rPr>
            </w:pPr>
          </w:p>
        </w:tc>
      </w:tr>
      <w:tr>
        <w:trPr>
          <w:trHeight w:val="261"/>
        </w:trPr>
        <w:tc>
          <w:tcPr>
            <w:tcW w:w="6420" w:type="dxa"/>
            <w:vAlign w:val="bottom"/>
          </w:tcPr>
          <w:p>
            <w:pPr>
              <w:spacing w:after="0"/>
              <w:rPr>
                <w:sz w:val="20"/>
                <w:szCs w:val="20"/>
                <w:color w:val="auto"/>
              </w:rPr>
            </w:pPr>
            <w:r>
              <w:rPr>
                <w:rFonts w:ascii="Arial" w:cs="Arial" w:eastAsia="Arial" w:hAnsi="Arial"/>
                <w:sz w:val="20"/>
                <w:szCs w:val="20"/>
                <w:color w:val="auto"/>
              </w:rPr>
              <w:t>Diluted</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0.97</w:t>
            </w:r>
          </w:p>
        </w:tc>
        <w:tc>
          <w:tcPr>
            <w:tcW w:w="100" w:type="dxa"/>
            <w:vAlign w:val="bottom"/>
          </w:tcPr>
          <w:p>
            <w:pPr>
              <w:spacing w:after="0"/>
              <w:rPr>
                <w:sz w:val="22"/>
                <w:szCs w:val="22"/>
                <w:color w:val="auto"/>
              </w:rPr>
            </w:pPr>
          </w:p>
        </w:tc>
        <w:tc>
          <w:tcPr>
            <w:tcW w:w="3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0.58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67.2</w:t>
            </w:r>
          </w:p>
        </w:tc>
        <w:tc>
          <w:tcPr>
            <w:tcW w:w="0" w:type="dxa"/>
            <w:vAlign w:val="bottom"/>
          </w:tcPr>
          <w:p>
            <w:pPr>
              <w:spacing w:after="0"/>
              <w:rPr>
                <w:sz w:val="1"/>
                <w:szCs w:val="1"/>
                <w:color w:val="auto"/>
              </w:rPr>
            </w:pPr>
          </w:p>
        </w:tc>
      </w:tr>
      <w:tr>
        <w:trPr>
          <w:trHeight w:val="400"/>
        </w:trPr>
        <w:tc>
          <w:tcPr>
            <w:tcW w:w="6420" w:type="dxa"/>
            <w:vAlign w:val="bottom"/>
          </w:tcPr>
          <w:p>
            <w:pPr>
              <w:spacing w:after="0"/>
              <w:rPr>
                <w:sz w:val="20"/>
                <w:szCs w:val="20"/>
                <w:color w:val="auto"/>
              </w:rPr>
            </w:pPr>
            <w:r>
              <w:rPr>
                <w:rFonts w:ascii="Arial" w:cs="Arial" w:eastAsia="Arial" w:hAnsi="Arial"/>
                <w:sz w:val="20"/>
                <w:szCs w:val="20"/>
                <w:b w:val="1"/>
                <w:bCs w:val="1"/>
                <w:i w:val="1"/>
                <w:iCs w:val="1"/>
                <w:color w:val="auto"/>
              </w:rPr>
              <w:t>Weighted average number of common shares outstanding:</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20" w:type="dxa"/>
            <w:vAlign w:val="bottom"/>
          </w:tcPr>
          <w:p>
            <w:pPr>
              <w:spacing w:after="0"/>
              <w:rPr>
                <w:sz w:val="20"/>
                <w:szCs w:val="20"/>
                <w:color w:val="auto"/>
              </w:rPr>
            </w:pPr>
            <w:r>
              <w:rPr>
                <w:rFonts w:ascii="Arial" w:cs="Arial" w:eastAsia="Arial" w:hAnsi="Arial"/>
                <w:sz w:val="20"/>
                <w:szCs w:val="20"/>
                <w:color w:val="auto"/>
              </w:rPr>
              <w:t>Basic shares</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224,233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222,068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61"/>
        </w:trPr>
        <w:tc>
          <w:tcPr>
            <w:tcW w:w="6420" w:type="dxa"/>
            <w:vAlign w:val="bottom"/>
          </w:tcPr>
          <w:p>
            <w:pPr>
              <w:spacing w:after="0"/>
              <w:rPr>
                <w:sz w:val="20"/>
                <w:szCs w:val="20"/>
                <w:color w:val="auto"/>
              </w:rPr>
            </w:pPr>
            <w:r>
              <w:rPr>
                <w:rFonts w:ascii="Arial" w:cs="Arial" w:eastAsia="Arial" w:hAnsi="Arial"/>
                <w:sz w:val="20"/>
                <w:szCs w:val="20"/>
                <w:color w:val="auto"/>
              </w:rPr>
              <w:t>Diluted shares</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225,275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223,362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0.9</w:t>
            </w: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885"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CONSOLIDATED STATEMENTS OF INCOME</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TEGNA Inc.</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Unaudited, in thousands of dollars (except per share amounts)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420" w:type="dxa"/>
            <w:vAlign w:val="bottom"/>
          </w:tcPr>
          <w:p>
            <w:pPr>
              <w:spacing w:after="0"/>
              <w:rPr>
                <w:sz w:val="20"/>
                <w:szCs w:val="20"/>
                <w:color w:val="auto"/>
              </w:rPr>
            </w:pPr>
            <w:r>
              <w:rPr>
                <w:rFonts w:ascii="Arial" w:cs="Arial" w:eastAsia="Arial" w:hAnsi="Arial"/>
                <w:sz w:val="20"/>
                <w:szCs w:val="20"/>
                <w:b w:val="1"/>
                <w:bCs w:val="1"/>
                <w:color w:val="auto"/>
              </w:rPr>
              <w:t>Table No. 1 (continued)</w:t>
            </w:r>
          </w:p>
        </w:tc>
        <w:tc>
          <w:tcPr>
            <w:tcW w:w="360" w:type="dxa"/>
            <w:vAlign w:val="bottom"/>
          </w:tcPr>
          <w:p>
            <w:pPr>
              <w:spacing w:after="0"/>
              <w:rPr>
                <w:sz w:val="23"/>
                <w:szCs w:val="23"/>
                <w:color w:val="auto"/>
              </w:rPr>
            </w:pPr>
          </w:p>
        </w:tc>
        <w:tc>
          <w:tcPr>
            <w:tcW w:w="3020" w:type="dxa"/>
            <w:vAlign w:val="bottom"/>
            <w:gridSpan w:val="5"/>
            <w:vMerge w:val="restart"/>
          </w:tcPr>
          <w:p>
            <w:pPr>
              <w:ind w:left="1140"/>
              <w:spacing w:after="0"/>
              <w:rPr>
                <w:sz w:val="20"/>
                <w:szCs w:val="20"/>
                <w:color w:val="auto"/>
              </w:rPr>
            </w:pPr>
            <w:r>
              <w:rPr>
                <w:rFonts w:ascii="Arial" w:cs="Arial" w:eastAsia="Arial" w:hAnsi="Arial"/>
                <w:sz w:val="20"/>
                <w:szCs w:val="20"/>
                <w:color w:val="auto"/>
              </w:rPr>
              <w:t>Year ended Dec. 31,</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20" w:type="dxa"/>
            <w:vAlign w:val="bottom"/>
            <w:gridSpan w:val="5"/>
            <w:vMerge w:val="continue"/>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
        </w:trPr>
        <w:tc>
          <w:tcPr>
            <w:tcW w:w="6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6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121"/>
              <w:spacing w:after="0" w:line="229" w:lineRule="exact"/>
              <w:rPr>
                <w:sz w:val="20"/>
                <w:szCs w:val="20"/>
                <w:color w:val="auto"/>
              </w:rPr>
            </w:pPr>
            <w:r>
              <w:rPr>
                <w:rFonts w:ascii="Arial" w:cs="Arial" w:eastAsia="Arial" w:hAnsi="Arial"/>
                <w:sz w:val="20"/>
                <w:szCs w:val="20"/>
                <w:color w:val="auto"/>
              </w:rPr>
              <w:t>% Increase</w:t>
            </w:r>
          </w:p>
        </w:tc>
        <w:tc>
          <w:tcPr>
            <w:tcW w:w="0" w:type="dxa"/>
            <w:vAlign w:val="bottom"/>
          </w:tcPr>
          <w:p>
            <w:pPr>
              <w:spacing w:after="0"/>
              <w:rPr>
                <w:sz w:val="1"/>
                <w:szCs w:val="1"/>
                <w:color w:val="auto"/>
              </w:rPr>
            </w:pPr>
          </w:p>
        </w:tc>
      </w:tr>
      <w:tr>
        <w:trPr>
          <w:trHeight w:val="261"/>
        </w:trPr>
        <w:tc>
          <w:tcPr>
            <w:tcW w:w="6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ind w:right="501"/>
              <w:spacing w:after="0"/>
              <w:rPr>
                <w:sz w:val="20"/>
                <w:szCs w:val="20"/>
                <w:color w:val="auto"/>
              </w:rPr>
            </w:pPr>
            <w:r>
              <w:rPr>
                <w:rFonts w:ascii="Arial" w:cs="Arial" w:eastAsia="Arial" w:hAnsi="Arial"/>
                <w:sz w:val="20"/>
                <w:szCs w:val="20"/>
                <w:color w:val="auto"/>
              </w:rPr>
              <w:t>2022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ind w:right="441"/>
              <w:spacing w:after="0"/>
              <w:rPr>
                <w:sz w:val="20"/>
                <w:szCs w:val="20"/>
                <w:color w:val="auto"/>
              </w:rPr>
            </w:pPr>
            <w:r>
              <w:rPr>
                <w:rFonts w:ascii="Arial" w:cs="Arial" w:eastAsia="Arial" w:hAnsi="Arial"/>
                <w:sz w:val="20"/>
                <w:szCs w:val="20"/>
                <w:color w:val="auto"/>
              </w:rPr>
              <w:t>2021</w:t>
            </w:r>
          </w:p>
        </w:tc>
        <w:tc>
          <w:tcPr>
            <w:tcW w:w="100" w:type="dxa"/>
            <w:vAlign w:val="bottom"/>
          </w:tcPr>
          <w:p>
            <w:pPr>
              <w:spacing w:after="0"/>
              <w:rPr>
                <w:sz w:val="22"/>
                <w:szCs w:val="22"/>
                <w:color w:val="auto"/>
              </w:rPr>
            </w:pPr>
          </w:p>
        </w:tc>
        <w:tc>
          <w:tcPr>
            <w:tcW w:w="1420" w:type="dxa"/>
            <w:vAlign w:val="bottom"/>
          </w:tcPr>
          <w:p>
            <w:pPr>
              <w:jc w:val="right"/>
              <w:ind w:right="121"/>
              <w:spacing w:after="0"/>
              <w:rPr>
                <w:sz w:val="20"/>
                <w:szCs w:val="20"/>
                <w:color w:val="auto"/>
              </w:rPr>
            </w:pPr>
            <w:r>
              <w:rPr>
                <w:rFonts w:ascii="Arial" w:cs="Arial" w:eastAsia="Arial" w:hAnsi="Arial"/>
                <w:sz w:val="20"/>
                <w:szCs w:val="20"/>
                <w:color w:val="auto"/>
              </w:rPr>
              <w:t>(Decrease)</w:t>
            </w:r>
          </w:p>
        </w:tc>
        <w:tc>
          <w:tcPr>
            <w:tcW w:w="0" w:type="dxa"/>
            <w:vAlign w:val="bottom"/>
          </w:tcPr>
          <w:p>
            <w:pPr>
              <w:spacing w:after="0"/>
              <w:rPr>
                <w:sz w:val="1"/>
                <w:szCs w:val="1"/>
                <w:color w:val="auto"/>
              </w:rPr>
            </w:pPr>
          </w:p>
        </w:tc>
      </w:tr>
      <w:tr>
        <w:trPr>
          <w:trHeight w:val="30"/>
        </w:trPr>
        <w:tc>
          <w:tcPr>
            <w:tcW w:w="6420" w:type="dxa"/>
            <w:vAlign w:val="bottom"/>
            <w:vMerge w:val="restart"/>
          </w:tcPr>
          <w:p>
            <w:pPr>
              <w:spacing w:after="0"/>
              <w:rPr>
                <w:sz w:val="20"/>
                <w:szCs w:val="20"/>
                <w:color w:val="auto"/>
              </w:rPr>
            </w:pPr>
            <w:r>
              <w:rPr>
                <w:rFonts w:ascii="Arial" w:cs="Arial" w:eastAsia="Arial" w:hAnsi="Arial"/>
                <w:sz w:val="20"/>
                <w:szCs w:val="20"/>
                <w:b w:val="1"/>
                <w:bCs w:val="1"/>
                <w:color w:val="auto"/>
              </w:rPr>
              <w:t>Revenues</w:t>
            </w: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2"/>
        </w:trPr>
        <w:tc>
          <w:tcPr>
            <w:tcW w:w="6420" w:type="dxa"/>
            <w:vAlign w:val="bottom"/>
            <w:vMerge w:val="continue"/>
          </w:tcPr>
          <w:p>
            <w:pPr>
              <w:spacing w:after="0"/>
              <w:rPr>
                <w:sz w:val="24"/>
                <w:szCs w:val="24"/>
                <w:color w:val="auto"/>
              </w:rPr>
            </w:pP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3,279,245</w:t>
            </w:r>
          </w:p>
        </w:tc>
        <w:tc>
          <w:tcPr>
            <w:tcW w:w="100" w:type="dxa"/>
            <w:vAlign w:val="bottom"/>
          </w:tcPr>
          <w:p>
            <w:pPr>
              <w:spacing w:after="0"/>
              <w:rPr>
                <w:sz w:val="24"/>
                <w:szCs w:val="24"/>
                <w:color w:val="auto"/>
              </w:rPr>
            </w:pPr>
          </w:p>
        </w:tc>
        <w:tc>
          <w:tcPr>
            <w:tcW w:w="3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2,991,093</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9.6</w:t>
            </w:r>
          </w:p>
        </w:tc>
        <w:tc>
          <w:tcPr>
            <w:tcW w:w="0" w:type="dxa"/>
            <w:vAlign w:val="bottom"/>
          </w:tcPr>
          <w:p>
            <w:pPr>
              <w:spacing w:after="0"/>
              <w:rPr>
                <w:sz w:val="1"/>
                <w:szCs w:val="1"/>
                <w:color w:val="auto"/>
              </w:rPr>
            </w:pPr>
          </w:p>
        </w:tc>
      </w:tr>
      <w:tr>
        <w:trPr>
          <w:trHeight w:val="404"/>
        </w:trPr>
        <w:tc>
          <w:tcPr>
            <w:tcW w:w="6420" w:type="dxa"/>
            <w:vAlign w:val="bottom"/>
          </w:tcPr>
          <w:p>
            <w:pPr>
              <w:spacing w:after="0"/>
              <w:rPr>
                <w:sz w:val="20"/>
                <w:szCs w:val="20"/>
                <w:color w:val="auto"/>
              </w:rPr>
            </w:pPr>
            <w:r>
              <w:rPr>
                <w:rFonts w:ascii="Arial" w:cs="Arial" w:eastAsia="Arial" w:hAnsi="Arial"/>
                <w:sz w:val="20"/>
                <w:szCs w:val="20"/>
                <w:b w:val="1"/>
                <w:bCs w:val="1"/>
                <w:color w:val="auto"/>
              </w:rPr>
              <w:t>Operating expenses:</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20" w:type="dxa"/>
            <w:vAlign w:val="bottom"/>
          </w:tcPr>
          <w:p>
            <w:pPr>
              <w:spacing w:after="0"/>
              <w:rPr>
                <w:sz w:val="20"/>
                <w:szCs w:val="20"/>
                <w:color w:val="auto"/>
              </w:rPr>
            </w:pPr>
            <w:r>
              <w:rPr>
                <w:rFonts w:ascii="Arial" w:cs="Arial" w:eastAsia="Arial" w:hAnsi="Arial"/>
                <w:sz w:val="20"/>
                <w:szCs w:val="20"/>
                <w:color w:val="auto"/>
              </w:rPr>
              <w:t>Cost of revenues</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1,693,221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1,598,759</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5.9</w:t>
            </w:r>
          </w:p>
        </w:tc>
        <w:tc>
          <w:tcPr>
            <w:tcW w:w="0" w:type="dxa"/>
            <w:vAlign w:val="bottom"/>
          </w:tcPr>
          <w:p>
            <w:pPr>
              <w:spacing w:after="0"/>
              <w:rPr>
                <w:sz w:val="1"/>
                <w:szCs w:val="1"/>
                <w:color w:val="auto"/>
              </w:rPr>
            </w:pPr>
          </w:p>
        </w:tc>
      </w:tr>
      <w:tr>
        <w:trPr>
          <w:trHeight w:val="257"/>
        </w:trPr>
        <w:tc>
          <w:tcPr>
            <w:tcW w:w="6420" w:type="dxa"/>
            <w:vAlign w:val="bottom"/>
          </w:tcPr>
          <w:p>
            <w:pPr>
              <w:spacing w:after="0"/>
              <w:rPr>
                <w:sz w:val="20"/>
                <w:szCs w:val="20"/>
                <w:color w:val="auto"/>
              </w:rPr>
            </w:pPr>
            <w:r>
              <w:rPr>
                <w:rFonts w:ascii="Arial" w:cs="Arial" w:eastAsia="Arial" w:hAnsi="Arial"/>
                <w:sz w:val="20"/>
                <w:szCs w:val="20"/>
                <w:color w:val="auto"/>
              </w:rPr>
              <w:t>Business units - Selling, general and administrative expenses</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414,530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396,446</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257"/>
        </w:trPr>
        <w:tc>
          <w:tcPr>
            <w:tcW w:w="6420" w:type="dxa"/>
            <w:vAlign w:val="bottom"/>
          </w:tcPr>
          <w:p>
            <w:pPr>
              <w:spacing w:after="0"/>
              <w:rPr>
                <w:sz w:val="20"/>
                <w:szCs w:val="20"/>
                <w:color w:val="auto"/>
              </w:rPr>
            </w:pPr>
            <w:r>
              <w:rPr>
                <w:rFonts w:ascii="Arial" w:cs="Arial" w:eastAsia="Arial" w:hAnsi="Arial"/>
                <w:sz w:val="20"/>
                <w:szCs w:val="20"/>
                <w:color w:val="auto"/>
              </w:rPr>
              <w:t>Corporate - General and administrative expenses</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60,108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68,127</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(11.8)</w:t>
            </w:r>
          </w:p>
        </w:tc>
        <w:tc>
          <w:tcPr>
            <w:tcW w:w="0" w:type="dxa"/>
            <w:vAlign w:val="bottom"/>
          </w:tcPr>
          <w:p>
            <w:pPr>
              <w:spacing w:after="0"/>
              <w:rPr>
                <w:sz w:val="1"/>
                <w:szCs w:val="1"/>
                <w:color w:val="auto"/>
              </w:rPr>
            </w:pPr>
          </w:p>
        </w:tc>
      </w:tr>
      <w:tr>
        <w:trPr>
          <w:trHeight w:val="257"/>
        </w:trPr>
        <w:tc>
          <w:tcPr>
            <w:tcW w:w="6420" w:type="dxa"/>
            <w:vAlign w:val="bottom"/>
          </w:tcPr>
          <w:p>
            <w:pPr>
              <w:spacing w:after="0"/>
              <w:rPr>
                <w:sz w:val="20"/>
                <w:szCs w:val="20"/>
                <w:color w:val="auto"/>
              </w:rPr>
            </w:pPr>
            <w:r>
              <w:rPr>
                <w:rFonts w:ascii="Arial" w:cs="Arial" w:eastAsia="Arial" w:hAnsi="Arial"/>
                <w:sz w:val="20"/>
                <w:szCs w:val="20"/>
                <w:color w:val="auto"/>
              </w:rPr>
              <w:t>Depreciation</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61,195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64,841</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(5.6)</w:t>
            </w:r>
          </w:p>
        </w:tc>
        <w:tc>
          <w:tcPr>
            <w:tcW w:w="0" w:type="dxa"/>
            <w:vAlign w:val="bottom"/>
          </w:tcPr>
          <w:p>
            <w:pPr>
              <w:spacing w:after="0"/>
              <w:rPr>
                <w:sz w:val="1"/>
                <w:szCs w:val="1"/>
                <w:color w:val="auto"/>
              </w:rPr>
            </w:pPr>
          </w:p>
        </w:tc>
      </w:tr>
      <w:tr>
        <w:trPr>
          <w:trHeight w:val="256"/>
        </w:trPr>
        <w:tc>
          <w:tcPr>
            <w:tcW w:w="6420" w:type="dxa"/>
            <w:vAlign w:val="bottom"/>
          </w:tcPr>
          <w:p>
            <w:pPr>
              <w:spacing w:after="0"/>
              <w:rPr>
                <w:sz w:val="20"/>
                <w:szCs w:val="20"/>
                <w:color w:val="auto"/>
              </w:rPr>
            </w:pPr>
            <w:r>
              <w:rPr>
                <w:rFonts w:ascii="Arial" w:cs="Arial" w:eastAsia="Arial" w:hAnsi="Arial"/>
                <w:sz w:val="20"/>
                <w:szCs w:val="20"/>
                <w:color w:val="auto"/>
              </w:rPr>
              <w:t>Amortization of intangible assets</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59,882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63,011</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261"/>
        </w:trPr>
        <w:tc>
          <w:tcPr>
            <w:tcW w:w="6420" w:type="dxa"/>
            <w:vAlign w:val="bottom"/>
          </w:tcPr>
          <w:p>
            <w:pPr>
              <w:spacing w:after="0"/>
              <w:rPr>
                <w:sz w:val="20"/>
                <w:szCs w:val="20"/>
                <w:color w:val="auto"/>
              </w:rPr>
            </w:pPr>
            <w:r>
              <w:rPr>
                <w:rFonts w:ascii="Arial" w:cs="Arial" w:eastAsia="Arial" w:hAnsi="Arial"/>
                <w:sz w:val="20"/>
                <w:szCs w:val="20"/>
                <w:color w:val="auto"/>
              </w:rPr>
              <w:t>Spectrum repacking reimbursements and other, net</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(323)</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(2,307)</w:t>
            </w:r>
          </w:p>
        </w:tc>
        <w:tc>
          <w:tcPr>
            <w:tcW w:w="100" w:type="dxa"/>
            <w:vAlign w:val="bottom"/>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(86.0)</w:t>
            </w:r>
          </w:p>
        </w:tc>
        <w:tc>
          <w:tcPr>
            <w:tcW w:w="0" w:type="dxa"/>
            <w:vAlign w:val="bottom"/>
          </w:tcPr>
          <w:p>
            <w:pPr>
              <w:spacing w:after="0"/>
              <w:rPr>
                <w:sz w:val="1"/>
                <w:szCs w:val="1"/>
                <w:color w:val="auto"/>
              </w:rPr>
            </w:pPr>
          </w:p>
        </w:tc>
      </w:tr>
      <w:tr>
        <w:trPr>
          <w:trHeight w:val="253"/>
        </w:trPr>
        <w:tc>
          <w:tcPr>
            <w:tcW w:w="6420" w:type="dxa"/>
            <w:vAlign w:val="bottom"/>
          </w:tcPr>
          <w:p>
            <w:pPr>
              <w:spacing w:after="0"/>
              <w:rPr>
                <w:sz w:val="20"/>
                <w:szCs w:val="20"/>
                <w:color w:val="auto"/>
              </w:rPr>
            </w:pPr>
            <w:r>
              <w:rPr>
                <w:rFonts w:ascii="Arial" w:cs="Arial" w:eastAsia="Arial" w:hAnsi="Arial"/>
                <w:sz w:val="20"/>
                <w:szCs w:val="20"/>
                <w:b w:val="1"/>
                <w:bCs w:val="1"/>
                <w:i w:val="1"/>
                <w:iCs w:val="1"/>
                <w:color w:val="auto"/>
              </w:rPr>
              <w:t>Total</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2,288,613</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2,188,877</w:t>
            </w:r>
          </w:p>
        </w:tc>
        <w:tc>
          <w:tcPr>
            <w:tcW w:w="100" w:type="dxa"/>
            <w:vAlign w:val="bottom"/>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w:t>
            </w: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0"/>
                <w:szCs w:val="20"/>
                <w:color w:val="auto"/>
              </w:rPr>
            </w:pPr>
            <w:r>
              <w:rPr>
                <w:rFonts w:ascii="Arial" w:cs="Arial" w:eastAsia="Arial" w:hAnsi="Arial"/>
                <w:sz w:val="20"/>
                <w:szCs w:val="20"/>
                <w:b w:val="1"/>
                <w:bCs w:val="1"/>
                <w:i w:val="1"/>
                <w:iCs w:val="1"/>
                <w:color w:val="auto"/>
              </w:rPr>
              <w:t>Operating income</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990,632</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802,216</w:t>
            </w:r>
          </w:p>
        </w:tc>
        <w:tc>
          <w:tcPr>
            <w:tcW w:w="100" w:type="dxa"/>
            <w:vAlign w:val="bottom"/>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23.5</w:t>
            </w:r>
          </w:p>
        </w:tc>
        <w:tc>
          <w:tcPr>
            <w:tcW w:w="0" w:type="dxa"/>
            <w:vAlign w:val="bottom"/>
          </w:tcPr>
          <w:p>
            <w:pPr>
              <w:spacing w:after="0"/>
              <w:rPr>
                <w:sz w:val="1"/>
                <w:szCs w:val="1"/>
                <w:color w:val="auto"/>
              </w:rPr>
            </w:pPr>
          </w:p>
        </w:tc>
      </w:tr>
      <w:tr>
        <w:trPr>
          <w:trHeight w:val="377"/>
        </w:trPr>
        <w:tc>
          <w:tcPr>
            <w:tcW w:w="6420" w:type="dxa"/>
            <w:vAlign w:val="bottom"/>
          </w:tcPr>
          <w:p>
            <w:pPr>
              <w:spacing w:after="0"/>
              <w:rPr>
                <w:sz w:val="20"/>
                <w:szCs w:val="20"/>
                <w:color w:val="auto"/>
              </w:rPr>
            </w:pPr>
            <w:r>
              <w:rPr>
                <w:rFonts w:ascii="Arial" w:cs="Arial" w:eastAsia="Arial" w:hAnsi="Arial"/>
                <w:sz w:val="20"/>
                <w:szCs w:val="20"/>
                <w:b w:val="1"/>
                <w:bCs w:val="1"/>
                <w:color w:val="auto"/>
              </w:rPr>
              <w:t>Non-operating (expense) income:</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420" w:type="dxa"/>
            <w:vAlign w:val="bottom"/>
          </w:tcPr>
          <w:p>
            <w:pPr>
              <w:spacing w:after="0"/>
              <w:rPr>
                <w:sz w:val="20"/>
                <w:szCs w:val="20"/>
                <w:color w:val="auto"/>
              </w:rPr>
            </w:pPr>
            <w:r>
              <w:rPr>
                <w:rFonts w:ascii="Arial" w:cs="Arial" w:eastAsia="Arial" w:hAnsi="Arial"/>
                <w:sz w:val="20"/>
                <w:szCs w:val="20"/>
                <w:color w:val="auto"/>
              </w:rPr>
              <w:t>Equity loss in unconsolidated investments, net</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(4,473)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(9,713)</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(53.9)</w:t>
            </w:r>
          </w:p>
        </w:tc>
        <w:tc>
          <w:tcPr>
            <w:tcW w:w="0" w:type="dxa"/>
            <w:vAlign w:val="bottom"/>
          </w:tcPr>
          <w:p>
            <w:pPr>
              <w:spacing w:after="0"/>
              <w:rPr>
                <w:sz w:val="1"/>
                <w:szCs w:val="1"/>
                <w:color w:val="auto"/>
              </w:rPr>
            </w:pPr>
          </w:p>
        </w:tc>
      </w:tr>
      <w:tr>
        <w:trPr>
          <w:trHeight w:val="257"/>
        </w:trPr>
        <w:tc>
          <w:tcPr>
            <w:tcW w:w="6420" w:type="dxa"/>
            <w:vAlign w:val="bottom"/>
          </w:tcPr>
          <w:p>
            <w:pPr>
              <w:spacing w:after="0"/>
              <w:rPr>
                <w:sz w:val="20"/>
                <w:szCs w:val="20"/>
                <w:color w:val="auto"/>
              </w:rPr>
            </w:pPr>
            <w:r>
              <w:rPr>
                <w:rFonts w:ascii="Arial" w:cs="Arial" w:eastAsia="Arial" w:hAnsi="Arial"/>
                <w:sz w:val="20"/>
                <w:szCs w:val="20"/>
                <w:color w:val="auto"/>
              </w:rPr>
              <w:t>Interest expense</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(174,022)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(185,650)</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(6.3)</w:t>
            </w:r>
          </w:p>
        </w:tc>
        <w:tc>
          <w:tcPr>
            <w:tcW w:w="0" w:type="dxa"/>
            <w:vAlign w:val="bottom"/>
          </w:tcPr>
          <w:p>
            <w:pPr>
              <w:spacing w:after="0"/>
              <w:rPr>
                <w:sz w:val="1"/>
                <w:szCs w:val="1"/>
                <w:color w:val="auto"/>
              </w:rPr>
            </w:pPr>
          </w:p>
        </w:tc>
      </w:tr>
      <w:tr>
        <w:trPr>
          <w:trHeight w:val="261"/>
        </w:trPr>
        <w:tc>
          <w:tcPr>
            <w:tcW w:w="6420" w:type="dxa"/>
            <w:vAlign w:val="bottom"/>
          </w:tcPr>
          <w:p>
            <w:pPr>
              <w:spacing w:after="0"/>
              <w:rPr>
                <w:sz w:val="20"/>
                <w:szCs w:val="20"/>
                <w:color w:val="auto"/>
              </w:rPr>
            </w:pPr>
            <w:r>
              <w:rPr>
                <w:rFonts w:ascii="Arial" w:cs="Arial" w:eastAsia="Arial" w:hAnsi="Arial"/>
                <w:sz w:val="20"/>
                <w:szCs w:val="20"/>
                <w:color w:val="auto"/>
              </w:rPr>
              <w:t>Other non-operating items, net</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21,431</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6,825</w:t>
            </w:r>
          </w:p>
        </w:tc>
        <w:tc>
          <w:tcPr>
            <w:tcW w:w="100" w:type="dxa"/>
            <w:vAlign w:val="bottom"/>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3"/>
        </w:trPr>
        <w:tc>
          <w:tcPr>
            <w:tcW w:w="6420" w:type="dxa"/>
            <w:vAlign w:val="bottom"/>
          </w:tcPr>
          <w:p>
            <w:pPr>
              <w:spacing w:after="0"/>
              <w:rPr>
                <w:sz w:val="20"/>
                <w:szCs w:val="20"/>
                <w:color w:val="auto"/>
              </w:rPr>
            </w:pPr>
            <w:r>
              <w:rPr>
                <w:rFonts w:ascii="Arial" w:cs="Arial" w:eastAsia="Arial" w:hAnsi="Arial"/>
                <w:sz w:val="20"/>
                <w:szCs w:val="20"/>
                <w:b w:val="1"/>
                <w:bCs w:val="1"/>
                <w:i w:val="1"/>
                <w:iCs w:val="1"/>
                <w:color w:val="auto"/>
              </w:rPr>
              <w:t>Total</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(157,064)</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(188,538)</w:t>
            </w:r>
          </w:p>
        </w:tc>
        <w:tc>
          <w:tcPr>
            <w:tcW w:w="100" w:type="dxa"/>
            <w:vAlign w:val="bottom"/>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w:t>
            </w:r>
          </w:p>
        </w:tc>
        <w:tc>
          <w:tcPr>
            <w:tcW w:w="0" w:type="dxa"/>
            <w:vAlign w:val="bottom"/>
          </w:tcPr>
          <w:p>
            <w:pPr>
              <w:spacing w:after="0"/>
              <w:rPr>
                <w:sz w:val="1"/>
                <w:szCs w:val="1"/>
                <w:color w:val="auto"/>
              </w:rPr>
            </w:pPr>
          </w:p>
        </w:tc>
      </w:tr>
      <w:tr>
        <w:trPr>
          <w:trHeight w:val="323"/>
        </w:trPr>
        <w:tc>
          <w:tcPr>
            <w:tcW w:w="6420" w:type="dxa"/>
            <w:vAlign w:val="bottom"/>
          </w:tcPr>
          <w:p>
            <w:pPr>
              <w:spacing w:after="0"/>
              <w:rPr>
                <w:sz w:val="20"/>
                <w:szCs w:val="20"/>
                <w:color w:val="auto"/>
              </w:rPr>
            </w:pPr>
            <w:r>
              <w:rPr>
                <w:rFonts w:ascii="Arial" w:cs="Arial" w:eastAsia="Arial" w:hAnsi="Arial"/>
                <w:sz w:val="20"/>
                <w:szCs w:val="20"/>
                <w:b w:val="1"/>
                <w:bCs w:val="1"/>
                <w:color w:val="auto"/>
              </w:rPr>
              <w:t>Income before income taxes</w:t>
            </w:r>
          </w:p>
        </w:tc>
        <w:tc>
          <w:tcPr>
            <w:tcW w:w="3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833,568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613,678</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35.8</w:t>
            </w:r>
          </w:p>
        </w:tc>
        <w:tc>
          <w:tcPr>
            <w:tcW w:w="0" w:type="dxa"/>
            <w:vAlign w:val="bottom"/>
          </w:tcPr>
          <w:p>
            <w:pPr>
              <w:spacing w:after="0"/>
              <w:rPr>
                <w:sz w:val="1"/>
                <w:szCs w:val="1"/>
                <w:color w:val="auto"/>
              </w:rPr>
            </w:pPr>
          </w:p>
        </w:tc>
      </w:tr>
      <w:tr>
        <w:trPr>
          <w:trHeight w:val="261"/>
        </w:trPr>
        <w:tc>
          <w:tcPr>
            <w:tcW w:w="6420" w:type="dxa"/>
            <w:vAlign w:val="bottom"/>
          </w:tcPr>
          <w:p>
            <w:pPr>
              <w:spacing w:after="0"/>
              <w:rPr>
                <w:sz w:val="20"/>
                <w:szCs w:val="20"/>
                <w:color w:val="auto"/>
              </w:rPr>
            </w:pPr>
            <w:r>
              <w:rPr>
                <w:rFonts w:ascii="Arial" w:cs="Arial" w:eastAsia="Arial" w:hAnsi="Arial"/>
                <w:sz w:val="20"/>
                <w:szCs w:val="20"/>
                <w:color w:val="auto"/>
              </w:rPr>
              <w:t>Provision for income taxes</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202,370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135,481</w:t>
            </w:r>
          </w:p>
        </w:tc>
        <w:tc>
          <w:tcPr>
            <w:tcW w:w="100" w:type="dxa"/>
            <w:vAlign w:val="bottom"/>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49.4</w:t>
            </w:r>
          </w:p>
        </w:tc>
        <w:tc>
          <w:tcPr>
            <w:tcW w:w="0" w:type="dxa"/>
            <w:vAlign w:val="bottom"/>
          </w:tcPr>
          <w:p>
            <w:pPr>
              <w:spacing w:after="0"/>
              <w:rPr>
                <w:sz w:val="1"/>
                <w:szCs w:val="1"/>
                <w:color w:val="auto"/>
              </w:rPr>
            </w:pPr>
          </w:p>
        </w:tc>
      </w:tr>
      <w:tr>
        <w:trPr>
          <w:trHeight w:val="245"/>
        </w:trPr>
        <w:tc>
          <w:tcPr>
            <w:tcW w:w="6420" w:type="dxa"/>
            <w:vAlign w:val="bottom"/>
          </w:tcPr>
          <w:p>
            <w:pPr>
              <w:spacing w:after="0"/>
              <w:rPr>
                <w:sz w:val="20"/>
                <w:szCs w:val="20"/>
                <w:color w:val="auto"/>
              </w:rPr>
            </w:pPr>
            <w:r>
              <w:rPr>
                <w:rFonts w:ascii="Arial" w:cs="Arial" w:eastAsia="Arial" w:hAnsi="Arial"/>
                <w:sz w:val="20"/>
                <w:szCs w:val="20"/>
                <w:b w:val="1"/>
                <w:bCs w:val="1"/>
                <w:i w:val="1"/>
                <w:iCs w:val="1"/>
                <w:color w:val="auto"/>
              </w:rPr>
              <w:t>Net income</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631,198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478,197</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32.0</w:t>
            </w:r>
          </w:p>
        </w:tc>
        <w:tc>
          <w:tcPr>
            <w:tcW w:w="0" w:type="dxa"/>
            <w:vAlign w:val="bottom"/>
          </w:tcPr>
          <w:p>
            <w:pPr>
              <w:spacing w:after="0"/>
              <w:rPr>
                <w:sz w:val="1"/>
                <w:szCs w:val="1"/>
                <w:color w:val="auto"/>
              </w:rPr>
            </w:pPr>
          </w:p>
        </w:tc>
      </w:tr>
      <w:tr>
        <w:trPr>
          <w:trHeight w:val="261"/>
        </w:trPr>
        <w:tc>
          <w:tcPr>
            <w:tcW w:w="6420" w:type="dxa"/>
            <w:vAlign w:val="bottom"/>
          </w:tcPr>
          <w:p>
            <w:pPr>
              <w:spacing w:after="0"/>
              <w:rPr>
                <w:sz w:val="20"/>
                <w:szCs w:val="20"/>
                <w:color w:val="auto"/>
              </w:rPr>
            </w:pPr>
            <w:r>
              <w:rPr>
                <w:rFonts w:ascii="Arial" w:cs="Arial" w:eastAsia="Arial" w:hAnsi="Arial"/>
                <w:sz w:val="20"/>
                <w:szCs w:val="20"/>
                <w:color w:val="auto"/>
              </w:rPr>
              <w:t>Net income attributable to redeemable noncontrolling interest</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(1,242)</w:t>
            </w:r>
          </w:p>
        </w:tc>
        <w:tc>
          <w:tcPr>
            <w:tcW w:w="100" w:type="dxa"/>
            <w:vAlign w:val="bottom"/>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(41.3)</w:t>
            </w:r>
          </w:p>
        </w:tc>
        <w:tc>
          <w:tcPr>
            <w:tcW w:w="0" w:type="dxa"/>
            <w:vAlign w:val="bottom"/>
          </w:tcPr>
          <w:p>
            <w:pPr>
              <w:spacing w:after="0"/>
              <w:rPr>
                <w:sz w:val="1"/>
                <w:szCs w:val="1"/>
                <w:color w:val="auto"/>
              </w:rPr>
            </w:pPr>
          </w:p>
        </w:tc>
      </w:tr>
      <w:tr>
        <w:trPr>
          <w:trHeight w:val="253"/>
        </w:trPr>
        <w:tc>
          <w:tcPr>
            <w:tcW w:w="6420" w:type="dxa"/>
            <w:vAlign w:val="bottom"/>
          </w:tcPr>
          <w:p>
            <w:pPr>
              <w:spacing w:after="0"/>
              <w:rPr>
                <w:sz w:val="20"/>
                <w:szCs w:val="20"/>
                <w:color w:val="auto"/>
              </w:rPr>
            </w:pPr>
            <w:r>
              <w:rPr>
                <w:rFonts w:ascii="Arial" w:cs="Arial" w:eastAsia="Arial" w:hAnsi="Arial"/>
                <w:sz w:val="20"/>
                <w:szCs w:val="20"/>
                <w:b w:val="1"/>
                <w:bCs w:val="1"/>
                <w:color w:val="auto"/>
              </w:rPr>
              <w:t>Net income attributable to TEGNA Inc.</w:t>
            </w: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630,469</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476,955</w:t>
            </w:r>
          </w:p>
        </w:tc>
        <w:tc>
          <w:tcPr>
            <w:tcW w:w="100" w:type="dxa"/>
            <w:vAlign w:val="bottom"/>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32.2</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20"/>
                <w:szCs w:val="20"/>
                <w:b w:val="1"/>
                <w:bCs w:val="1"/>
                <w:i w:val="1"/>
                <w:iCs w:val="1"/>
                <w:color w:val="auto"/>
              </w:rPr>
              <w:t>Earnings per share:</w:t>
            </w: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5"/>
        </w:trPr>
        <w:tc>
          <w:tcPr>
            <w:tcW w:w="64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20" w:type="dxa"/>
            <w:vAlign w:val="bottom"/>
          </w:tcPr>
          <w:p>
            <w:pPr>
              <w:spacing w:after="0"/>
              <w:rPr>
                <w:sz w:val="20"/>
                <w:szCs w:val="20"/>
                <w:color w:val="auto"/>
              </w:rPr>
            </w:pPr>
            <w:r>
              <w:rPr>
                <w:rFonts w:ascii="Arial" w:cs="Arial" w:eastAsia="Arial" w:hAnsi="Arial"/>
                <w:sz w:val="20"/>
                <w:szCs w:val="20"/>
                <w:color w:val="auto"/>
              </w:rPr>
              <w:t>Basic</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2.82</w:t>
            </w:r>
          </w:p>
        </w:tc>
        <w:tc>
          <w:tcPr>
            <w:tcW w:w="100" w:type="dxa"/>
            <w:vAlign w:val="bottom"/>
          </w:tcPr>
          <w:p>
            <w:pPr>
              <w:spacing w:after="0"/>
              <w:rPr>
                <w:sz w:val="22"/>
                <w:szCs w:val="22"/>
                <w:color w:val="auto"/>
              </w:rPr>
            </w:pPr>
          </w:p>
        </w:tc>
        <w:tc>
          <w:tcPr>
            <w:tcW w:w="3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2.15</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31.2</w:t>
            </w:r>
          </w:p>
        </w:tc>
        <w:tc>
          <w:tcPr>
            <w:tcW w:w="0" w:type="dxa"/>
            <w:vAlign w:val="bottom"/>
          </w:tcPr>
          <w:p>
            <w:pPr>
              <w:spacing w:after="0"/>
              <w:rPr>
                <w:sz w:val="1"/>
                <w:szCs w:val="1"/>
                <w:color w:val="auto"/>
              </w:rPr>
            </w:pPr>
          </w:p>
        </w:tc>
      </w:tr>
      <w:tr>
        <w:trPr>
          <w:trHeight w:val="261"/>
        </w:trPr>
        <w:tc>
          <w:tcPr>
            <w:tcW w:w="6420" w:type="dxa"/>
            <w:vAlign w:val="bottom"/>
          </w:tcPr>
          <w:p>
            <w:pPr>
              <w:spacing w:after="0"/>
              <w:rPr>
                <w:sz w:val="20"/>
                <w:szCs w:val="20"/>
                <w:color w:val="auto"/>
              </w:rPr>
            </w:pPr>
            <w:r>
              <w:rPr>
                <w:rFonts w:ascii="Arial" w:cs="Arial" w:eastAsia="Arial" w:hAnsi="Arial"/>
                <w:sz w:val="20"/>
                <w:szCs w:val="20"/>
                <w:color w:val="auto"/>
              </w:rPr>
              <w:t>Diluted</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2.81</w:t>
            </w:r>
          </w:p>
        </w:tc>
        <w:tc>
          <w:tcPr>
            <w:tcW w:w="100" w:type="dxa"/>
            <w:vAlign w:val="bottom"/>
          </w:tcPr>
          <w:p>
            <w:pPr>
              <w:spacing w:after="0"/>
              <w:rPr>
                <w:sz w:val="22"/>
                <w:szCs w:val="22"/>
                <w:color w:val="auto"/>
              </w:rPr>
            </w:pPr>
          </w:p>
        </w:tc>
        <w:tc>
          <w:tcPr>
            <w:tcW w:w="3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2.14</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31.3</w:t>
            </w:r>
          </w:p>
        </w:tc>
        <w:tc>
          <w:tcPr>
            <w:tcW w:w="0" w:type="dxa"/>
            <w:vAlign w:val="bottom"/>
          </w:tcPr>
          <w:p>
            <w:pPr>
              <w:spacing w:after="0"/>
              <w:rPr>
                <w:sz w:val="1"/>
                <w:szCs w:val="1"/>
                <w:color w:val="auto"/>
              </w:rPr>
            </w:pPr>
          </w:p>
        </w:tc>
      </w:tr>
      <w:tr>
        <w:trPr>
          <w:trHeight w:val="522"/>
        </w:trPr>
        <w:tc>
          <w:tcPr>
            <w:tcW w:w="6420" w:type="dxa"/>
            <w:vAlign w:val="bottom"/>
          </w:tcPr>
          <w:p>
            <w:pPr>
              <w:spacing w:after="0"/>
              <w:rPr>
                <w:sz w:val="20"/>
                <w:szCs w:val="20"/>
                <w:color w:val="auto"/>
              </w:rPr>
            </w:pPr>
            <w:r>
              <w:rPr>
                <w:rFonts w:ascii="Arial" w:cs="Arial" w:eastAsia="Arial" w:hAnsi="Arial"/>
                <w:sz w:val="20"/>
                <w:szCs w:val="20"/>
                <w:b w:val="1"/>
                <w:bCs w:val="1"/>
                <w:i w:val="1"/>
                <w:iCs w:val="1"/>
                <w:color w:val="auto"/>
              </w:rPr>
              <w:t>Weighted average number of common shares outstanding:</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420" w:type="dxa"/>
            <w:vAlign w:val="bottom"/>
          </w:tcPr>
          <w:p>
            <w:pPr>
              <w:spacing w:after="0"/>
              <w:rPr>
                <w:sz w:val="20"/>
                <w:szCs w:val="20"/>
                <w:color w:val="auto"/>
              </w:rPr>
            </w:pPr>
            <w:r>
              <w:rPr>
                <w:rFonts w:ascii="Arial" w:cs="Arial" w:eastAsia="Arial" w:hAnsi="Arial"/>
                <w:sz w:val="20"/>
                <w:szCs w:val="20"/>
                <w:color w:val="auto"/>
              </w:rPr>
              <w:t>Basic shares</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223,652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221,504</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61"/>
        </w:trPr>
        <w:tc>
          <w:tcPr>
            <w:tcW w:w="6420" w:type="dxa"/>
            <w:vAlign w:val="bottom"/>
          </w:tcPr>
          <w:p>
            <w:pPr>
              <w:spacing w:after="0"/>
              <w:rPr>
                <w:sz w:val="20"/>
                <w:szCs w:val="20"/>
                <w:color w:val="auto"/>
              </w:rPr>
            </w:pPr>
            <w:r>
              <w:rPr>
                <w:rFonts w:ascii="Arial" w:cs="Arial" w:eastAsia="Arial" w:hAnsi="Arial"/>
                <w:sz w:val="20"/>
                <w:szCs w:val="20"/>
                <w:color w:val="auto"/>
              </w:rPr>
              <w:t>Diluted shares</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224,486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222,471</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0.9</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 Not meaningful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20"/>
          </w:cols>
          <w:pgMar w:left="340" w:top="1020"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u w:val="single" w:color="auto"/>
          <w:color w:val="auto"/>
        </w:rPr>
        <w:t>USE OF NON-GAAP INFORMATION</w:t>
      </w:r>
    </w:p>
    <w:p>
      <w:pPr>
        <w:spacing w:after="0" w:line="25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company uses non-GAAP financial performance measures to supplement the financial information presented on a GAAP basis. These non-GAAP financial measures should not be considered in isolation from, or as a substitute for, the related GAAP measures, nor should they be considered superior to the related GAAP measures, and should be read together with financial information presented on a GAAP basis. Also, our non-GAAP measures may not be comparable to similarly titled measures of other companies.</w:t>
      </w:r>
    </w:p>
    <w:p>
      <w:pPr>
        <w:spacing w:after="0" w:line="21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Management and the company’s Board of Directors use non-GAAP financial measures for purposes of evaluating company performance. Furthermore, the Leadership Development and Compensation Committee of our Board of Directors uses non-GAAP measures such as Adjusted EBITDA, non-GAAP net income, non-GAAP EPS, and free cash flow to evaluate management’s performance. The company, therefore, believes that each of the non-GAAP measures presented provides useful information to investors and other stakeholders by allowing them to view our business through the eyes of management and our Board of Directors, facilitating comparisons of results across historical periods and focus on the underlying ongoing operating performance of our business. The company also believes these non-GAAP measures are frequently used by investors, securities analysts and other interested parties in their evaluation of our business and other companies in the broadcast industry.</w:t>
      </w:r>
    </w:p>
    <w:p>
      <w:pPr>
        <w:spacing w:after="0" w:line="20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The company discusses in this release non-GAAP financial performance measures that exclude from its reported GAAP results the impact of “special items” consisting of spectrum repacking reimbursements and other, net, M&amp;A-related costs, advisory fees related to activism defense, certain non-operating items such as expense related to the early extinguishment of debt, a gain on an available for sale investment, and a valuation gain from an investment and an impairment charge recorded for another investment. In addition, we have excluded certain income tax special items associated with a valuation allowance on a deferred tax asset related to an equity method investment, a partial capital loss valuation allowance release, and deferred tax benefits related to state tax planning strategies.</w:t>
      </w:r>
    </w:p>
    <w:p>
      <w:pPr>
        <w:spacing w:after="0" w:line="217"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company believes that such expenses and gains are not indicative of normal, ongoing operations. While these items should not be disregarded in evaluation of our earnings performance, it is useful to exclude such items when analyzing current results and trends compared to other periods as these items can vary significantly from period to period depending on specific underlying transactions or events that may occur. Therefore, while we may incur or recognize these types of expenses and gains in the future, the company believes that removing these items for purposes of calculating the non-GAAP financial measures provides investors with a more focused presentation of our ongoing operating performance.</w:t>
      </w:r>
    </w:p>
    <w:p>
      <w:pPr>
        <w:spacing w:after="0" w:line="21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company also discusses Adjusted EBITDA (with and without corporate expenses), a non-GAAP financial performance measure that it believes offers a useful view of the overall operation of its businesses. The company defines Adjusted EBITDA as net income attributable to TEGNA before (1) net income attributable to redeemable noncontrolling interest, (2) income taxes, (3) interest expense, (4) equity loss in unconsolidated investments, net, (5) other non-operating items, net, (6) M&amp;A-related costs, (7) advisory fees related to activism defense, (8) spectrum repacking reimbursements and other, net, (9) depreciation and (10) amortization. The company believes these adjustments facilitate company-to-company operating performance comparisons by removing potential differences caused by variations unrelated to operating performance, such as capital structures (interest expense), income taxes, and the age and book appreciation of property and equipment (and related depreciation expense). The most directly comparable GAAP financial measure to Adjusted EBITDA is Net income attributable to TEGNA. Users should consider the limitations of using Adjusted EBITDA, including the fact that this measure does not provide a complete measure of our operating performance. Adjusted EBITDA is not intended to purport to be an alternate to net income as a measure of operating performance or to cash flows from operating activities as a measure of liquidity. In particular, Adjusted EBITDA is not intended to be a measure of cash flow available for management’s discretionary expenditures, as this measure does not consider certain cash requirements, such as working capital needs, capital expenditures, contractual commitments, interest payments, tax payments and other debt service requirements.</w:t>
      </w:r>
    </w:p>
    <w:p>
      <w:pPr>
        <w:spacing w:after="0" w:line="210"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This earnings release also discusses free cash flow, a non-GAAP performance measure that the Board of Directors uses to review the performance of the business. Free cash flow is reviewed by the Board of Directors as a percentage of revenue over a trailing two-year period (reflecting both an even and odd year reporting period given the political cyclicality of the business). The most directly comparable GAAP financial measure to free cash flow is Net income attributable to TEGNA. Free cash flow is calculated as non-GAAP Adjusted EBITDA (as defined above), further adjusted by adding back (1) stock-based compensation, (2) non-cash 401(k) company match, (3) syndicated programming amortization, (4) dividends received from equity method investments (5) reimbursements from spectrum repacking, and (6) proceeds from company-owned life insurance policies. This is further adjusted by deducting payments made for (1) syndicated programming, (2) pension, (3) interest, (4) taxes (net of refunds) and (5) purchases of property and equipment. Like Adjusted EBITDA, free cash flow is not intended to be a measure of cash flow available for management’s discretionary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887" w:right="339" w:bottom="1440" w:gutter="0" w:footer="0" w:header="0"/>
        </w:sectPr>
      </w:pPr>
    </w:p>
    <w:bookmarkStart w:id="14" w:name="page15"/>
    <w:bookmarkEnd w:id="14"/>
    <w:p>
      <w:pPr>
        <w:spacing w:after="0"/>
        <w:rPr>
          <w:sz w:val="20"/>
          <w:szCs w:val="20"/>
          <w:color w:val="auto"/>
        </w:rPr>
      </w:pPr>
      <w:r>
        <w:rPr>
          <w:rFonts w:ascii="Arial" w:cs="Arial" w:eastAsia="Arial" w:hAnsi="Arial"/>
          <w:sz w:val="15"/>
          <w:szCs w:val="15"/>
          <w:b w:val="1"/>
          <w:bCs w:val="1"/>
          <w:color w:val="auto"/>
        </w:rPr>
        <w:t>NON-GAAP FINANCIAL INFORMATION</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TEGNA Inc.</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Unaudited, in thousands of dollars (except per share amounts)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Table No. 2</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Reconciliations of certain line items impacted by special items to the most directly comparable financial measure calculated and presented in accordance with GAAP on the company's Consolidated Statements of</w:t>
      </w:r>
    </w:p>
    <w:p>
      <w:pPr>
        <w:ind w:left="20"/>
        <w:spacing w:after="0"/>
        <w:rPr>
          <w:sz w:val="20"/>
          <w:szCs w:val="20"/>
          <w:color w:val="auto"/>
        </w:rPr>
      </w:pPr>
      <w:r>
        <w:rPr>
          <w:rFonts w:ascii="Arial" w:cs="Arial" w:eastAsia="Arial" w:hAnsi="Arial"/>
          <w:sz w:val="12"/>
          <w:szCs w:val="12"/>
          <w:color w:val="auto"/>
        </w:rPr>
        <w:t>Income follow: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742"/>
              <w:spacing w:after="0"/>
              <w:rPr>
                <w:sz w:val="20"/>
                <w:szCs w:val="20"/>
                <w:color w:val="auto"/>
              </w:rPr>
            </w:pPr>
            <w:r>
              <w:rPr>
                <w:rFonts w:ascii="Arial" w:cs="Arial" w:eastAsia="Arial" w:hAnsi="Arial"/>
                <w:sz w:val="12"/>
                <w:szCs w:val="12"/>
                <w:b w:val="1"/>
                <w:bCs w:val="1"/>
                <w:color w:val="auto"/>
              </w:rPr>
              <w:t>Special Items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Spectrum repacking</w:t>
            </w:r>
          </w:p>
        </w:tc>
        <w:tc>
          <w:tcPr>
            <w:tcW w:w="100" w:type="dxa"/>
            <w:vAlign w:val="bottom"/>
          </w:tcPr>
          <w:p>
            <w:pPr>
              <w:spacing w:after="0"/>
              <w:rPr>
                <w:sz w:val="14"/>
                <w:szCs w:val="14"/>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9"/>
              </w:rPr>
              <w:t>Non-GAAP</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2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Quarter ended Dec. 31, 2022</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7"/>
              </w:rPr>
              <w:t>GAAP</w:t>
            </w:r>
          </w:p>
        </w:tc>
        <w:tc>
          <w:tcPr>
            <w:tcW w:w="10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w w:val="96"/>
              </w:rPr>
              <w:t>M&amp;A-related costs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reimbursements</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2"/>
              <w:spacing w:after="0"/>
              <w:rPr>
                <w:sz w:val="20"/>
                <w:szCs w:val="20"/>
                <w:color w:val="auto"/>
              </w:rPr>
            </w:pPr>
            <w:r>
              <w:rPr>
                <w:rFonts w:ascii="Arial" w:cs="Arial" w:eastAsia="Arial" w:hAnsi="Arial"/>
                <w:sz w:val="12"/>
                <w:szCs w:val="12"/>
                <w:b w:val="1"/>
                <w:bCs w:val="1"/>
                <w:color w:val="auto"/>
                <w:w w:val="97"/>
              </w:rPr>
              <w:t>measure</w:t>
            </w:r>
          </w:p>
        </w:tc>
        <w:tc>
          <w:tcPr>
            <w:tcW w:w="100" w:type="dxa"/>
            <w:vAlign w:val="bottom"/>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42"/>
              <w:spacing w:after="0"/>
              <w:rPr>
                <w:sz w:val="20"/>
                <w:szCs w:val="20"/>
                <w:color w:val="auto"/>
              </w:rPr>
            </w:pPr>
            <w:r>
              <w:rPr>
                <w:rFonts w:ascii="Arial" w:cs="Arial" w:eastAsia="Arial" w:hAnsi="Arial"/>
                <w:sz w:val="12"/>
                <w:szCs w:val="12"/>
                <w:b w:val="1"/>
                <w:bCs w:val="1"/>
                <w:color w:val="auto"/>
                <w:w w:val="95"/>
              </w:rPr>
              <w:t>and other</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2"/>
              <w:spacing w:after="0"/>
              <w:rPr>
                <w:sz w:val="20"/>
                <w:szCs w:val="20"/>
                <w:color w:val="auto"/>
              </w:rPr>
            </w:pPr>
            <w:r>
              <w:rPr>
                <w:rFonts w:ascii="Arial" w:cs="Arial" w:eastAsia="Arial" w:hAnsi="Arial"/>
                <w:sz w:val="12"/>
                <w:szCs w:val="12"/>
                <w:b w:val="1"/>
                <w:bCs w:val="1"/>
                <w:color w:val="auto"/>
                <w:w w:val="97"/>
              </w:rPr>
              <w:t>measure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3380" w:type="dxa"/>
            <w:vAlign w:val="bottom"/>
            <w:gridSpan w:val="2"/>
          </w:tcPr>
          <w:p>
            <w:pPr>
              <w:ind w:left="20"/>
              <w:spacing w:after="0"/>
              <w:rPr>
                <w:sz w:val="20"/>
                <w:szCs w:val="20"/>
                <w:color w:val="auto"/>
              </w:rPr>
            </w:pPr>
            <w:r>
              <w:rPr>
                <w:rFonts w:ascii="Arial" w:cs="Arial" w:eastAsia="Arial" w:hAnsi="Arial"/>
                <w:sz w:val="12"/>
                <w:szCs w:val="12"/>
                <w:color w:val="auto"/>
              </w:rPr>
              <w:t>Corporate - General and administrative expenses</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11,809</w:t>
            </w:r>
          </w:p>
        </w:tc>
        <w:tc>
          <w:tcPr>
            <w:tcW w:w="10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(2,370)</w:t>
            </w:r>
          </w:p>
        </w:tc>
        <w:tc>
          <w:tcPr>
            <w:tcW w:w="12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9,439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380" w:type="dxa"/>
            <w:vAlign w:val="bottom"/>
            <w:gridSpan w:val="2"/>
          </w:tcPr>
          <w:p>
            <w:pPr>
              <w:ind w:left="20"/>
              <w:spacing w:after="0"/>
              <w:rPr>
                <w:sz w:val="20"/>
                <w:szCs w:val="20"/>
                <w:color w:val="auto"/>
              </w:rPr>
            </w:pPr>
            <w:r>
              <w:rPr>
                <w:rFonts w:ascii="Arial" w:cs="Arial" w:eastAsia="Arial" w:hAnsi="Arial"/>
                <w:sz w:val="12"/>
                <w:szCs w:val="12"/>
                <w:color w:val="auto"/>
              </w:rPr>
              <w:t>Spectrum repacking reimbursements and other, net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80" w:type="dxa"/>
            <w:vAlign w:val="bottom"/>
            <w:gridSpan w:val="2"/>
          </w:tcPr>
          <w:p>
            <w:pPr>
              <w:ind w:left="20"/>
              <w:spacing w:after="0"/>
              <w:rPr>
                <w:sz w:val="20"/>
                <w:szCs w:val="20"/>
                <w:color w:val="auto"/>
              </w:rPr>
            </w:pPr>
            <w:r>
              <w:rPr>
                <w:rFonts w:ascii="Arial" w:cs="Arial" w:eastAsia="Arial" w:hAnsi="Arial"/>
                <w:sz w:val="12"/>
                <w:szCs w:val="12"/>
                <w:color w:val="auto"/>
              </w:rPr>
              <w:t>Operating expenses</w:t>
            </w:r>
          </w:p>
        </w:tc>
        <w:tc>
          <w:tcPr>
            <w:tcW w:w="12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588,914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(2,370)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586,545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gridSpan w:val="2"/>
          </w:tcPr>
          <w:p>
            <w:pPr>
              <w:ind w:left="20"/>
              <w:spacing w:after="0"/>
              <w:rPr>
                <w:sz w:val="20"/>
                <w:szCs w:val="20"/>
                <w:color w:val="auto"/>
              </w:rPr>
            </w:pPr>
            <w:r>
              <w:rPr>
                <w:rFonts w:ascii="Arial" w:cs="Arial" w:eastAsia="Arial" w:hAnsi="Arial"/>
                <w:sz w:val="12"/>
                <w:szCs w:val="12"/>
                <w:color w:val="auto"/>
              </w:rPr>
              <w:t>Operating income</w:t>
            </w:r>
          </w:p>
        </w:tc>
        <w:tc>
          <w:tcPr>
            <w:tcW w:w="12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328,216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2,370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330,585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80" w:type="dxa"/>
            <w:vAlign w:val="bottom"/>
            <w:gridSpan w:val="2"/>
          </w:tcPr>
          <w:p>
            <w:pPr>
              <w:ind w:left="20"/>
              <w:spacing w:after="0"/>
              <w:rPr>
                <w:sz w:val="20"/>
                <w:szCs w:val="20"/>
                <w:color w:val="auto"/>
              </w:rPr>
            </w:pPr>
            <w:r>
              <w:rPr>
                <w:rFonts w:ascii="Arial" w:cs="Arial" w:eastAsia="Arial" w:hAnsi="Arial"/>
                <w:sz w:val="12"/>
                <w:szCs w:val="12"/>
                <w:color w:val="auto"/>
              </w:rPr>
              <w:t>Income before income taxes</w:t>
            </w:r>
          </w:p>
        </w:tc>
        <w:tc>
          <w:tcPr>
            <w:tcW w:w="12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288,589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2,370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290,958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gridSpan w:val="2"/>
          </w:tcPr>
          <w:p>
            <w:pPr>
              <w:ind w:left="20"/>
              <w:spacing w:after="0"/>
              <w:rPr>
                <w:sz w:val="20"/>
                <w:szCs w:val="20"/>
                <w:color w:val="auto"/>
              </w:rPr>
            </w:pPr>
            <w:r>
              <w:rPr>
                <w:rFonts w:ascii="Arial" w:cs="Arial" w:eastAsia="Arial" w:hAnsi="Arial"/>
                <w:sz w:val="12"/>
                <w:szCs w:val="12"/>
                <w:color w:val="auto"/>
              </w:rPr>
              <w:t>Provision for income taxes</w:t>
            </w:r>
          </w:p>
        </w:tc>
        <w:tc>
          <w:tcPr>
            <w:tcW w:w="12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69,775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148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69,923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gridSpan w:val="2"/>
          </w:tcPr>
          <w:p>
            <w:pPr>
              <w:ind w:left="20"/>
              <w:spacing w:after="0"/>
              <w:rPr>
                <w:sz w:val="20"/>
                <w:szCs w:val="20"/>
                <w:color w:val="auto"/>
              </w:rPr>
            </w:pPr>
            <w:r>
              <w:rPr>
                <w:rFonts w:ascii="Arial" w:cs="Arial" w:eastAsia="Arial" w:hAnsi="Arial"/>
                <w:sz w:val="12"/>
                <w:szCs w:val="12"/>
                <w:color w:val="auto"/>
              </w:rPr>
              <w:t>Net income attributable to TEGNA Inc.</w:t>
            </w:r>
          </w:p>
        </w:tc>
        <w:tc>
          <w:tcPr>
            <w:tcW w:w="12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218,601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2,222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220,822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80" w:type="dxa"/>
            <w:vAlign w:val="bottom"/>
            <w:gridSpan w:val="2"/>
          </w:tcPr>
          <w:p>
            <w:pPr>
              <w:ind w:left="20"/>
              <w:spacing w:after="0"/>
              <w:rPr>
                <w:sz w:val="20"/>
                <w:szCs w:val="20"/>
                <w:color w:val="auto"/>
              </w:rPr>
            </w:pPr>
            <w:r>
              <w:rPr>
                <w:rFonts w:ascii="Arial" w:cs="Arial" w:eastAsia="Arial" w:hAnsi="Arial"/>
                <w:sz w:val="12"/>
                <w:szCs w:val="12"/>
                <w:color w:val="auto"/>
              </w:rPr>
              <w:t>Earnings per share-diluted</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0.97</w:t>
            </w:r>
          </w:p>
        </w:tc>
        <w:tc>
          <w:tcPr>
            <w:tcW w:w="100" w:type="dxa"/>
            <w:vAlign w:val="bottom"/>
          </w:tcPr>
          <w:p>
            <w:pPr>
              <w:spacing w:after="0"/>
              <w:rPr>
                <w:sz w:val="15"/>
                <w:szCs w:val="15"/>
                <w:color w:val="auto"/>
              </w:rPr>
            </w:pPr>
          </w:p>
        </w:tc>
        <w:tc>
          <w:tcPr>
            <w:tcW w:w="400" w:type="dxa"/>
            <w:vAlign w:val="bottom"/>
          </w:tcPr>
          <w:p>
            <w:pPr>
              <w:ind w:left="2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0.01</w:t>
            </w:r>
          </w:p>
        </w:tc>
        <w:tc>
          <w:tcPr>
            <w:tcW w:w="12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0.98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8"/>
        </w:trPr>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ind w:left="780"/>
              <w:spacing w:after="0"/>
              <w:rPr>
                <w:sz w:val="20"/>
                <w:szCs w:val="20"/>
                <w:color w:val="auto"/>
              </w:rPr>
            </w:pPr>
            <w:r>
              <w:rPr>
                <w:rFonts w:ascii="Arial" w:cs="Arial" w:eastAsia="Arial" w:hAnsi="Arial"/>
                <w:sz w:val="12"/>
                <w:szCs w:val="12"/>
                <w:b w:val="1"/>
                <w:bCs w:val="1"/>
                <w:color w:val="auto"/>
              </w:rPr>
              <w:t>Special Items</w:t>
            </w: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Spectrum repacking</w:t>
            </w:r>
          </w:p>
        </w:tc>
        <w:tc>
          <w:tcPr>
            <w:tcW w:w="100" w:type="dxa"/>
            <w:vAlign w:val="bottom"/>
          </w:tcPr>
          <w:p>
            <w:pPr>
              <w:spacing w:after="0"/>
              <w:rPr>
                <w:sz w:val="14"/>
                <w:szCs w:val="14"/>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7"/>
              </w:rPr>
              <w:t>Other non-</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102"/>
              <w:spacing w:after="0"/>
              <w:rPr>
                <w:sz w:val="20"/>
                <w:szCs w:val="20"/>
                <w:color w:val="auto"/>
              </w:rPr>
            </w:pPr>
            <w:r>
              <w:rPr>
                <w:rFonts w:ascii="Arial" w:cs="Arial" w:eastAsia="Arial" w:hAnsi="Arial"/>
                <w:sz w:val="12"/>
                <w:szCs w:val="12"/>
                <w:b w:val="1"/>
                <w:bCs w:val="1"/>
                <w:color w:val="auto"/>
              </w:rPr>
              <w:t>Non-GAAP</w:t>
            </w:r>
          </w:p>
        </w:tc>
        <w:tc>
          <w:tcPr>
            <w:tcW w:w="0" w:type="dxa"/>
            <w:vAlign w:val="bottom"/>
          </w:tcPr>
          <w:p>
            <w:pPr>
              <w:spacing w:after="0"/>
              <w:rPr>
                <w:sz w:val="1"/>
                <w:szCs w:val="1"/>
                <w:color w:val="auto"/>
              </w:rPr>
            </w:pPr>
          </w:p>
        </w:tc>
      </w:tr>
      <w:tr>
        <w:trPr>
          <w:trHeight w:val="145"/>
        </w:trPr>
        <w:tc>
          <w:tcPr>
            <w:tcW w:w="32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Quarter ended Dec. 31, 2021</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7"/>
              </w:rPr>
              <w:t>GAAP</w:t>
            </w:r>
          </w:p>
        </w:tc>
        <w:tc>
          <w:tcPr>
            <w:tcW w:w="10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w w:val="96"/>
              </w:rPr>
              <w:t>M&amp;A-related costs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reimbursements</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restart"/>
          </w:tcPr>
          <w:p>
            <w:pPr>
              <w:jc w:val="right"/>
              <w:ind w:right="62"/>
              <w:spacing w:after="0"/>
              <w:rPr>
                <w:sz w:val="20"/>
                <w:szCs w:val="20"/>
                <w:color w:val="auto"/>
              </w:rPr>
            </w:pPr>
            <w:r>
              <w:rPr>
                <w:rFonts w:ascii="Arial" w:cs="Arial" w:eastAsia="Arial" w:hAnsi="Arial"/>
                <w:sz w:val="12"/>
                <w:szCs w:val="12"/>
                <w:b w:val="1"/>
                <w:bCs w:val="1"/>
                <w:color w:val="auto"/>
                <w:w w:val="96"/>
              </w:rPr>
              <w:t>Special tax items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2"/>
              <w:spacing w:after="0"/>
              <w:rPr>
                <w:sz w:val="20"/>
                <w:szCs w:val="20"/>
                <w:color w:val="auto"/>
              </w:rPr>
            </w:pPr>
            <w:r>
              <w:rPr>
                <w:rFonts w:ascii="Arial" w:cs="Arial" w:eastAsia="Arial" w:hAnsi="Arial"/>
                <w:sz w:val="12"/>
                <w:szCs w:val="12"/>
                <w:b w:val="1"/>
                <w:bCs w:val="1"/>
                <w:color w:val="auto"/>
                <w:w w:val="97"/>
              </w:rPr>
              <w:t>measure</w:t>
            </w:r>
          </w:p>
        </w:tc>
        <w:tc>
          <w:tcPr>
            <w:tcW w:w="100" w:type="dxa"/>
            <w:vAlign w:val="bottom"/>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42"/>
              <w:spacing w:after="0"/>
              <w:rPr>
                <w:sz w:val="20"/>
                <w:szCs w:val="20"/>
                <w:color w:val="auto"/>
              </w:rPr>
            </w:pPr>
            <w:r>
              <w:rPr>
                <w:rFonts w:ascii="Arial" w:cs="Arial" w:eastAsia="Arial" w:hAnsi="Arial"/>
                <w:sz w:val="12"/>
                <w:szCs w:val="12"/>
                <w:b w:val="1"/>
                <w:bCs w:val="1"/>
                <w:color w:val="auto"/>
                <w:w w:val="95"/>
              </w:rPr>
              <w:t>and other</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42"/>
              <w:spacing w:after="0"/>
              <w:rPr>
                <w:sz w:val="20"/>
                <w:szCs w:val="20"/>
                <w:color w:val="auto"/>
              </w:rPr>
            </w:pPr>
            <w:r>
              <w:rPr>
                <w:rFonts w:ascii="Arial" w:cs="Arial" w:eastAsia="Arial" w:hAnsi="Arial"/>
                <w:sz w:val="12"/>
                <w:szCs w:val="12"/>
                <w:b w:val="1"/>
                <w:bCs w:val="1"/>
                <w:color w:val="auto"/>
                <w:w w:val="96"/>
              </w:rPr>
              <w:t>operating items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measure</w:t>
            </w:r>
          </w:p>
        </w:tc>
        <w:tc>
          <w:tcPr>
            <w:tcW w:w="0" w:type="dxa"/>
            <w:vAlign w:val="bottom"/>
          </w:tcPr>
          <w:p>
            <w:pPr>
              <w:spacing w:after="0"/>
              <w:rPr>
                <w:sz w:val="1"/>
                <w:szCs w:val="1"/>
                <w:color w:val="auto"/>
              </w:rPr>
            </w:pPr>
          </w:p>
        </w:tc>
      </w:tr>
      <w:tr>
        <w:trPr>
          <w:trHeight w:val="408"/>
        </w:trPr>
        <w:tc>
          <w:tcPr>
            <w:tcW w:w="3380" w:type="dxa"/>
            <w:vAlign w:val="bottom"/>
            <w:gridSpan w:val="2"/>
          </w:tcPr>
          <w:p>
            <w:pPr>
              <w:ind w:left="20"/>
              <w:spacing w:after="0"/>
              <w:rPr>
                <w:sz w:val="20"/>
                <w:szCs w:val="20"/>
                <w:color w:val="auto"/>
              </w:rPr>
            </w:pPr>
            <w:r>
              <w:rPr>
                <w:rFonts w:ascii="Arial" w:cs="Arial" w:eastAsia="Arial" w:hAnsi="Arial"/>
                <w:sz w:val="12"/>
                <w:szCs w:val="12"/>
                <w:color w:val="auto"/>
              </w:rPr>
              <w:t>Corporate - General and administrative expenses</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16,183</w:t>
            </w:r>
          </w:p>
        </w:tc>
        <w:tc>
          <w:tcPr>
            <w:tcW w:w="10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(3,738)</w:t>
            </w:r>
          </w:p>
        </w:tc>
        <w:tc>
          <w:tcPr>
            <w:tcW w:w="12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12,445</w:t>
            </w:r>
          </w:p>
        </w:tc>
        <w:tc>
          <w:tcPr>
            <w:tcW w:w="0" w:type="dxa"/>
            <w:vAlign w:val="bottom"/>
          </w:tcPr>
          <w:p>
            <w:pPr>
              <w:spacing w:after="0"/>
              <w:rPr>
                <w:sz w:val="1"/>
                <w:szCs w:val="1"/>
                <w:color w:val="auto"/>
              </w:rPr>
            </w:pPr>
          </w:p>
        </w:tc>
      </w:tr>
      <w:tr>
        <w:trPr>
          <w:trHeight w:val="175"/>
        </w:trPr>
        <w:tc>
          <w:tcPr>
            <w:tcW w:w="3380" w:type="dxa"/>
            <w:vAlign w:val="bottom"/>
            <w:gridSpan w:val="2"/>
          </w:tcPr>
          <w:p>
            <w:pPr>
              <w:ind w:left="20"/>
              <w:spacing w:after="0"/>
              <w:rPr>
                <w:sz w:val="20"/>
                <w:szCs w:val="20"/>
                <w:color w:val="auto"/>
              </w:rPr>
            </w:pPr>
            <w:r>
              <w:rPr>
                <w:rFonts w:ascii="Arial" w:cs="Arial" w:eastAsia="Arial" w:hAnsi="Arial"/>
                <w:sz w:val="12"/>
                <w:szCs w:val="12"/>
                <w:color w:val="auto"/>
              </w:rPr>
              <w:t>Spectrum repacking reimbursements and other, net</w:t>
            </w:r>
          </w:p>
        </w:tc>
        <w:tc>
          <w:tcPr>
            <w:tcW w:w="12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87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(87)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3380" w:type="dxa"/>
            <w:vAlign w:val="bottom"/>
            <w:gridSpan w:val="2"/>
          </w:tcPr>
          <w:p>
            <w:pPr>
              <w:ind w:left="20"/>
              <w:spacing w:after="0"/>
              <w:rPr>
                <w:sz w:val="20"/>
                <w:szCs w:val="20"/>
                <w:color w:val="auto"/>
              </w:rPr>
            </w:pPr>
            <w:r>
              <w:rPr>
                <w:rFonts w:ascii="Arial" w:cs="Arial" w:eastAsia="Arial" w:hAnsi="Arial"/>
                <w:sz w:val="12"/>
                <w:szCs w:val="12"/>
                <w:color w:val="auto"/>
              </w:rPr>
              <w:t>Operating expenses</w:t>
            </w:r>
          </w:p>
        </w:tc>
        <w:tc>
          <w:tcPr>
            <w:tcW w:w="12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565,233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(3,738)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(87)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561,408</w:t>
            </w:r>
          </w:p>
        </w:tc>
        <w:tc>
          <w:tcPr>
            <w:tcW w:w="0" w:type="dxa"/>
            <w:vAlign w:val="bottom"/>
          </w:tcPr>
          <w:p>
            <w:pPr>
              <w:spacing w:after="0"/>
              <w:rPr>
                <w:sz w:val="1"/>
                <w:szCs w:val="1"/>
                <w:color w:val="auto"/>
              </w:rPr>
            </w:pPr>
          </w:p>
        </w:tc>
      </w:tr>
      <w:tr>
        <w:trPr>
          <w:trHeight w:val="176"/>
        </w:trPr>
        <w:tc>
          <w:tcPr>
            <w:tcW w:w="3380" w:type="dxa"/>
            <w:vAlign w:val="bottom"/>
            <w:gridSpan w:val="2"/>
          </w:tcPr>
          <w:p>
            <w:pPr>
              <w:ind w:left="20"/>
              <w:spacing w:after="0"/>
              <w:rPr>
                <w:sz w:val="20"/>
                <w:szCs w:val="20"/>
                <w:color w:val="auto"/>
              </w:rPr>
            </w:pPr>
            <w:r>
              <w:rPr>
                <w:rFonts w:ascii="Arial" w:cs="Arial" w:eastAsia="Arial" w:hAnsi="Arial"/>
                <w:sz w:val="12"/>
                <w:szCs w:val="12"/>
                <w:color w:val="auto"/>
              </w:rPr>
              <w:t>Operating income</w:t>
            </w:r>
          </w:p>
        </w:tc>
        <w:tc>
          <w:tcPr>
            <w:tcW w:w="12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209,414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3,738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87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213,239</w:t>
            </w:r>
          </w:p>
        </w:tc>
        <w:tc>
          <w:tcPr>
            <w:tcW w:w="0" w:type="dxa"/>
            <w:vAlign w:val="bottom"/>
          </w:tcPr>
          <w:p>
            <w:pPr>
              <w:spacing w:after="0"/>
              <w:rPr>
                <w:sz w:val="1"/>
                <w:szCs w:val="1"/>
                <w:color w:val="auto"/>
              </w:rPr>
            </w:pPr>
          </w:p>
        </w:tc>
      </w:tr>
      <w:tr>
        <w:trPr>
          <w:trHeight w:val="175"/>
        </w:trPr>
        <w:tc>
          <w:tcPr>
            <w:tcW w:w="3380" w:type="dxa"/>
            <w:vAlign w:val="bottom"/>
            <w:gridSpan w:val="2"/>
          </w:tcPr>
          <w:p>
            <w:pPr>
              <w:ind w:left="20"/>
              <w:spacing w:after="0"/>
              <w:rPr>
                <w:sz w:val="20"/>
                <w:szCs w:val="20"/>
                <w:color w:val="auto"/>
              </w:rPr>
            </w:pPr>
            <w:r>
              <w:rPr>
                <w:rFonts w:ascii="Arial" w:cs="Arial" w:eastAsia="Arial" w:hAnsi="Arial"/>
                <w:sz w:val="12"/>
                <w:szCs w:val="12"/>
                <w:color w:val="auto"/>
              </w:rPr>
              <w:t>Other non-operating items, net</w:t>
            </w:r>
          </w:p>
        </w:tc>
        <w:tc>
          <w:tcPr>
            <w:tcW w:w="12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2,485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2,448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4,933</w:t>
            </w:r>
          </w:p>
        </w:tc>
        <w:tc>
          <w:tcPr>
            <w:tcW w:w="0" w:type="dxa"/>
            <w:vAlign w:val="bottom"/>
          </w:tcPr>
          <w:p>
            <w:pPr>
              <w:spacing w:after="0"/>
              <w:rPr>
                <w:sz w:val="1"/>
                <w:szCs w:val="1"/>
                <w:color w:val="auto"/>
              </w:rPr>
            </w:pPr>
          </w:p>
        </w:tc>
      </w:tr>
      <w:tr>
        <w:trPr>
          <w:trHeight w:val="175"/>
        </w:trPr>
        <w:tc>
          <w:tcPr>
            <w:tcW w:w="3380" w:type="dxa"/>
            <w:vAlign w:val="bottom"/>
            <w:gridSpan w:val="2"/>
          </w:tcPr>
          <w:p>
            <w:pPr>
              <w:ind w:left="20"/>
              <w:spacing w:after="0"/>
              <w:rPr>
                <w:sz w:val="20"/>
                <w:szCs w:val="20"/>
                <w:color w:val="auto"/>
              </w:rPr>
            </w:pPr>
            <w:r>
              <w:rPr>
                <w:rFonts w:ascii="Arial" w:cs="Arial" w:eastAsia="Arial" w:hAnsi="Arial"/>
                <w:sz w:val="12"/>
                <w:szCs w:val="12"/>
                <w:color w:val="auto"/>
              </w:rPr>
              <w:t>Income before income taxes</w:t>
            </w:r>
          </w:p>
        </w:tc>
        <w:tc>
          <w:tcPr>
            <w:tcW w:w="12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161,823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3,738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87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2,448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168,096</w:t>
            </w:r>
          </w:p>
        </w:tc>
        <w:tc>
          <w:tcPr>
            <w:tcW w:w="0" w:type="dxa"/>
            <w:vAlign w:val="bottom"/>
          </w:tcPr>
          <w:p>
            <w:pPr>
              <w:spacing w:after="0"/>
              <w:rPr>
                <w:sz w:val="1"/>
                <w:szCs w:val="1"/>
                <w:color w:val="auto"/>
              </w:rPr>
            </w:pPr>
          </w:p>
        </w:tc>
      </w:tr>
      <w:tr>
        <w:trPr>
          <w:trHeight w:val="175"/>
        </w:trPr>
        <w:tc>
          <w:tcPr>
            <w:tcW w:w="3380" w:type="dxa"/>
            <w:vAlign w:val="bottom"/>
            <w:gridSpan w:val="2"/>
          </w:tcPr>
          <w:p>
            <w:pPr>
              <w:ind w:left="20"/>
              <w:spacing w:after="0"/>
              <w:rPr>
                <w:sz w:val="20"/>
                <w:szCs w:val="20"/>
                <w:color w:val="auto"/>
              </w:rPr>
            </w:pPr>
            <w:r>
              <w:rPr>
                <w:rFonts w:ascii="Arial" w:cs="Arial" w:eastAsia="Arial" w:hAnsi="Arial"/>
                <w:sz w:val="12"/>
                <w:szCs w:val="12"/>
                <w:color w:val="auto"/>
              </w:rPr>
              <w:t>Provision for income taxes</w:t>
            </w:r>
          </w:p>
        </w:tc>
        <w:tc>
          <w:tcPr>
            <w:tcW w:w="12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32,011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60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629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6,994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39,715</w:t>
            </w:r>
          </w:p>
        </w:tc>
        <w:tc>
          <w:tcPr>
            <w:tcW w:w="0" w:type="dxa"/>
            <w:vAlign w:val="bottom"/>
          </w:tcPr>
          <w:p>
            <w:pPr>
              <w:spacing w:after="0"/>
              <w:rPr>
                <w:sz w:val="1"/>
                <w:szCs w:val="1"/>
                <w:color w:val="auto"/>
              </w:rPr>
            </w:pPr>
          </w:p>
        </w:tc>
      </w:tr>
      <w:tr>
        <w:trPr>
          <w:trHeight w:val="175"/>
        </w:trPr>
        <w:tc>
          <w:tcPr>
            <w:tcW w:w="3380" w:type="dxa"/>
            <w:vAlign w:val="bottom"/>
            <w:gridSpan w:val="2"/>
          </w:tcPr>
          <w:p>
            <w:pPr>
              <w:ind w:left="20"/>
              <w:spacing w:after="0"/>
              <w:rPr>
                <w:sz w:val="20"/>
                <w:szCs w:val="20"/>
                <w:color w:val="auto"/>
              </w:rPr>
            </w:pPr>
            <w:r>
              <w:rPr>
                <w:rFonts w:ascii="Arial" w:cs="Arial" w:eastAsia="Arial" w:hAnsi="Arial"/>
                <w:sz w:val="12"/>
                <w:szCs w:val="12"/>
                <w:color w:val="auto"/>
              </w:rPr>
              <w:t>Net income attributable to TEGNA Inc.</w:t>
            </w:r>
          </w:p>
        </w:tc>
        <w:tc>
          <w:tcPr>
            <w:tcW w:w="12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129,431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3,678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1,819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(6,994)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128,000</w:t>
            </w:r>
          </w:p>
        </w:tc>
        <w:tc>
          <w:tcPr>
            <w:tcW w:w="0" w:type="dxa"/>
            <w:vAlign w:val="bottom"/>
          </w:tcPr>
          <w:p>
            <w:pPr>
              <w:spacing w:after="0"/>
              <w:rPr>
                <w:sz w:val="1"/>
                <w:szCs w:val="1"/>
                <w:color w:val="auto"/>
              </w:rPr>
            </w:pPr>
          </w:p>
        </w:tc>
      </w:tr>
      <w:tr>
        <w:trPr>
          <w:trHeight w:val="226"/>
        </w:trPr>
        <w:tc>
          <w:tcPr>
            <w:tcW w:w="3380" w:type="dxa"/>
            <w:vAlign w:val="bottom"/>
            <w:gridSpan w:val="2"/>
          </w:tcPr>
          <w:p>
            <w:pPr>
              <w:ind w:left="20"/>
              <w:spacing w:after="0"/>
              <w:rPr>
                <w:sz w:val="20"/>
                <w:szCs w:val="20"/>
                <w:color w:val="auto"/>
              </w:rPr>
            </w:pPr>
            <w:r>
              <w:rPr>
                <w:rFonts w:ascii="Arial" w:cs="Arial" w:eastAsia="Arial" w:hAnsi="Arial"/>
                <w:sz w:val="12"/>
                <w:szCs w:val="12"/>
                <w:color w:val="auto"/>
              </w:rPr>
              <w:t xml:space="preserve">Earnings per share-diluted </w:t>
            </w:r>
            <w:r>
              <w:rPr>
                <w:rFonts w:ascii="Arial" w:cs="Arial" w:eastAsia="Arial" w:hAnsi="Arial"/>
                <w:sz w:val="15"/>
                <w:szCs w:val="15"/>
                <w:color w:val="auto"/>
                <w:vertAlign w:val="superscript"/>
              </w:rPr>
              <w:t>(a)</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0.58</w:t>
            </w: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0.02</w:t>
            </w:r>
          </w:p>
        </w:tc>
        <w:tc>
          <w:tcPr>
            <w:tcW w:w="12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0.01</w:t>
            </w: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(0.03)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0.57</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5"/>
          <w:szCs w:val="15"/>
          <w:color w:val="auto"/>
          <w:vertAlign w:val="superscript"/>
        </w:rPr>
        <w:t>(a)</w:t>
      </w:r>
      <w:r>
        <w:rPr>
          <w:rFonts w:ascii="Arial" w:cs="Arial" w:eastAsia="Arial" w:hAnsi="Arial"/>
          <w:sz w:val="12"/>
          <w:szCs w:val="12"/>
          <w:color w:val="auto"/>
        </w:rPr>
        <w:t xml:space="preserve"> Per share amounts do not sum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890"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12"/>
          <w:szCs w:val="12"/>
          <w:b w:val="1"/>
          <w:bCs w:val="1"/>
          <w:color w:val="auto"/>
        </w:rPr>
        <w:t>NON-GAAP FINANCIAL INFORMATION</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2"/>
          <w:szCs w:val="12"/>
          <w:color w:val="auto"/>
        </w:rPr>
        <w:t>TEGNA Inc.</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2"/>
          <w:szCs w:val="12"/>
          <w:color w:val="auto"/>
        </w:rPr>
        <w:t>Unaudited, in thousands of dollars (except per share amounts)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Table No. 2 (continued)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ind w:left="780"/>
              <w:spacing w:after="0"/>
              <w:rPr>
                <w:sz w:val="20"/>
                <w:szCs w:val="20"/>
                <w:color w:val="auto"/>
              </w:rPr>
            </w:pPr>
            <w:r>
              <w:rPr>
                <w:rFonts w:ascii="Arial" w:cs="Arial" w:eastAsia="Arial" w:hAnsi="Arial"/>
                <w:sz w:val="12"/>
                <w:szCs w:val="12"/>
                <w:b w:val="1"/>
                <w:bCs w:val="1"/>
                <w:color w:val="auto"/>
              </w:rPr>
              <w:t>Special Items</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Spectrum repacking</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2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Year ended Dec. 31, 2022</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7"/>
              </w:rPr>
              <w:t>GAAP</w:t>
            </w:r>
          </w:p>
        </w:tc>
        <w:tc>
          <w:tcPr>
            <w:tcW w:w="10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8"/>
              </w:rPr>
              <w:t>M&amp;A-related costs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reimbursements</w:t>
            </w:r>
          </w:p>
        </w:tc>
        <w:tc>
          <w:tcPr>
            <w:tcW w:w="100" w:type="dxa"/>
            <w:vAlign w:val="bottom"/>
          </w:tcPr>
          <w:p>
            <w:pPr>
              <w:spacing w:after="0"/>
              <w:rPr>
                <w:sz w:val="12"/>
                <w:szCs w:val="12"/>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7"/>
              </w:rPr>
              <w:t>Other non-</w:t>
            </w:r>
          </w:p>
        </w:tc>
        <w:tc>
          <w:tcPr>
            <w:tcW w:w="100" w:type="dxa"/>
            <w:vAlign w:val="bottom"/>
          </w:tcPr>
          <w:p>
            <w:pPr>
              <w:spacing w:after="0"/>
              <w:rPr>
                <w:sz w:val="12"/>
                <w:szCs w:val="12"/>
                <w:color w:val="auto"/>
              </w:rPr>
            </w:pPr>
          </w:p>
        </w:tc>
        <w:tc>
          <w:tcPr>
            <w:tcW w:w="1060" w:type="dxa"/>
            <w:vAlign w:val="bottom"/>
            <w:vMerge w:val="restart"/>
          </w:tcPr>
          <w:p>
            <w:pPr>
              <w:jc w:val="center"/>
              <w:ind w:right="42"/>
              <w:spacing w:after="0"/>
              <w:rPr>
                <w:sz w:val="20"/>
                <w:szCs w:val="20"/>
                <w:color w:val="auto"/>
              </w:rPr>
            </w:pPr>
            <w:r>
              <w:rPr>
                <w:rFonts w:ascii="Arial" w:cs="Arial" w:eastAsia="Arial" w:hAnsi="Arial"/>
                <w:sz w:val="12"/>
                <w:szCs w:val="12"/>
                <w:b w:val="1"/>
                <w:bCs w:val="1"/>
                <w:color w:val="auto"/>
                <w:w w:val="98"/>
              </w:rPr>
              <w:t>Special tax items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Non-GAAP</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2"/>
              <w:spacing w:after="0"/>
              <w:rPr>
                <w:sz w:val="20"/>
                <w:szCs w:val="20"/>
                <w:color w:val="auto"/>
              </w:rPr>
            </w:pPr>
            <w:r>
              <w:rPr>
                <w:rFonts w:ascii="Arial" w:cs="Arial" w:eastAsia="Arial" w:hAnsi="Arial"/>
                <w:sz w:val="12"/>
                <w:szCs w:val="12"/>
                <w:b w:val="1"/>
                <w:bCs w:val="1"/>
                <w:color w:val="auto"/>
                <w:w w:val="97"/>
              </w:rPr>
              <w:t>measure</w:t>
            </w:r>
          </w:p>
        </w:tc>
        <w:tc>
          <w:tcPr>
            <w:tcW w:w="100" w:type="dxa"/>
            <w:vAlign w:val="bottom"/>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62"/>
              <w:spacing w:after="0"/>
              <w:rPr>
                <w:sz w:val="20"/>
                <w:szCs w:val="20"/>
                <w:color w:val="auto"/>
              </w:rPr>
            </w:pPr>
            <w:r>
              <w:rPr>
                <w:rFonts w:ascii="Arial" w:cs="Arial" w:eastAsia="Arial" w:hAnsi="Arial"/>
                <w:sz w:val="12"/>
                <w:szCs w:val="12"/>
                <w:b w:val="1"/>
                <w:bCs w:val="1"/>
                <w:color w:val="auto"/>
                <w:w w:val="98"/>
              </w:rPr>
              <w:t>and other</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62"/>
              <w:spacing w:after="0"/>
              <w:rPr>
                <w:sz w:val="20"/>
                <w:szCs w:val="20"/>
                <w:color w:val="auto"/>
              </w:rPr>
            </w:pPr>
            <w:r>
              <w:rPr>
                <w:rFonts w:ascii="Arial" w:cs="Arial" w:eastAsia="Arial" w:hAnsi="Arial"/>
                <w:sz w:val="12"/>
                <w:szCs w:val="12"/>
                <w:b w:val="1"/>
                <w:bCs w:val="1"/>
                <w:color w:val="auto"/>
                <w:w w:val="96"/>
              </w:rPr>
              <w:t>operating items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62"/>
              <w:spacing w:after="0"/>
              <w:rPr>
                <w:sz w:val="20"/>
                <w:szCs w:val="20"/>
                <w:color w:val="auto"/>
              </w:rPr>
            </w:pPr>
            <w:r>
              <w:rPr>
                <w:rFonts w:ascii="Arial" w:cs="Arial" w:eastAsia="Arial" w:hAnsi="Arial"/>
                <w:sz w:val="12"/>
                <w:szCs w:val="12"/>
                <w:b w:val="1"/>
                <w:bCs w:val="1"/>
                <w:color w:val="auto"/>
                <w:w w:val="97"/>
              </w:rPr>
              <w:t>measure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6"/>
        </w:trPr>
        <w:tc>
          <w:tcPr>
            <w:tcW w:w="3360" w:type="dxa"/>
            <w:vAlign w:val="bottom"/>
            <w:gridSpan w:val="2"/>
          </w:tcPr>
          <w:p>
            <w:pPr>
              <w:ind w:left="20"/>
              <w:spacing w:after="0"/>
              <w:rPr>
                <w:sz w:val="20"/>
                <w:szCs w:val="20"/>
                <w:color w:val="auto"/>
              </w:rPr>
            </w:pPr>
            <w:r>
              <w:rPr>
                <w:rFonts w:ascii="Arial" w:cs="Arial" w:eastAsia="Arial" w:hAnsi="Arial"/>
                <w:sz w:val="12"/>
                <w:szCs w:val="12"/>
                <w:color w:val="auto"/>
              </w:rPr>
              <w:t>Corporate - General and administrative expenses</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60,108</w:t>
            </w:r>
          </w:p>
        </w:tc>
        <w:tc>
          <w:tcPr>
            <w:tcW w:w="1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(20,517)</w:t>
            </w:r>
          </w:p>
        </w:tc>
        <w:tc>
          <w:tcPr>
            <w:tcW w:w="1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39,591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360" w:type="dxa"/>
            <w:vAlign w:val="bottom"/>
            <w:gridSpan w:val="2"/>
          </w:tcPr>
          <w:p>
            <w:pPr>
              <w:ind w:left="20"/>
              <w:spacing w:after="0"/>
              <w:rPr>
                <w:sz w:val="20"/>
                <w:szCs w:val="20"/>
                <w:color w:val="auto"/>
              </w:rPr>
            </w:pPr>
            <w:r>
              <w:rPr>
                <w:rFonts w:ascii="Arial" w:cs="Arial" w:eastAsia="Arial" w:hAnsi="Arial"/>
                <w:sz w:val="12"/>
                <w:szCs w:val="12"/>
                <w:color w:val="auto"/>
              </w:rPr>
              <w:t>Spectrum repacking reimbursements and other, net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323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gridSpan w:val="2"/>
          </w:tcPr>
          <w:p>
            <w:pPr>
              <w:ind w:left="20"/>
              <w:spacing w:after="0"/>
              <w:rPr>
                <w:sz w:val="20"/>
                <w:szCs w:val="20"/>
                <w:color w:val="auto"/>
              </w:rPr>
            </w:pPr>
            <w:r>
              <w:rPr>
                <w:rFonts w:ascii="Arial" w:cs="Arial" w:eastAsia="Arial" w:hAnsi="Arial"/>
                <w:sz w:val="12"/>
                <w:szCs w:val="12"/>
                <w:color w:val="auto"/>
              </w:rPr>
              <w:t>Operating expenses</w:t>
            </w:r>
          </w:p>
        </w:tc>
        <w:tc>
          <w:tcPr>
            <w:tcW w:w="12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2,288,613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(20,517)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323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2,268,419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gridSpan w:val="2"/>
          </w:tcPr>
          <w:p>
            <w:pPr>
              <w:ind w:left="20"/>
              <w:spacing w:after="0"/>
              <w:rPr>
                <w:sz w:val="20"/>
                <w:szCs w:val="20"/>
                <w:color w:val="auto"/>
              </w:rPr>
            </w:pPr>
            <w:r>
              <w:rPr>
                <w:rFonts w:ascii="Arial" w:cs="Arial" w:eastAsia="Arial" w:hAnsi="Arial"/>
                <w:sz w:val="12"/>
                <w:szCs w:val="12"/>
                <w:color w:val="auto"/>
              </w:rPr>
              <w:t>Operating income</w:t>
            </w:r>
          </w:p>
        </w:tc>
        <w:tc>
          <w:tcPr>
            <w:tcW w:w="12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990,632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20,517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1,010,826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gridSpan w:val="2"/>
          </w:tcPr>
          <w:p>
            <w:pPr>
              <w:ind w:left="20"/>
              <w:spacing w:after="0"/>
              <w:rPr>
                <w:sz w:val="20"/>
                <w:szCs w:val="20"/>
                <w:color w:val="auto"/>
              </w:rPr>
            </w:pPr>
            <w:r>
              <w:rPr>
                <w:rFonts w:ascii="Arial" w:cs="Arial" w:eastAsia="Arial" w:hAnsi="Arial"/>
                <w:sz w:val="12"/>
                <w:szCs w:val="12"/>
                <w:color w:val="auto"/>
              </w:rPr>
              <w:t>Other non-operating items, net</w:t>
            </w:r>
          </w:p>
        </w:tc>
        <w:tc>
          <w:tcPr>
            <w:tcW w:w="12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21,431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(18,308)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3,123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gridSpan w:val="2"/>
          </w:tcPr>
          <w:p>
            <w:pPr>
              <w:ind w:left="20"/>
              <w:spacing w:after="0"/>
              <w:rPr>
                <w:sz w:val="20"/>
                <w:szCs w:val="20"/>
                <w:color w:val="auto"/>
              </w:rPr>
            </w:pPr>
            <w:r>
              <w:rPr>
                <w:rFonts w:ascii="Arial" w:cs="Arial" w:eastAsia="Arial" w:hAnsi="Arial"/>
                <w:sz w:val="12"/>
                <w:szCs w:val="12"/>
                <w:color w:val="auto"/>
              </w:rPr>
              <w:t>Total non-operating expenses</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(157,064)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(18,308)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(175,372)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gridSpan w:val="2"/>
          </w:tcPr>
          <w:p>
            <w:pPr>
              <w:ind w:left="20"/>
              <w:spacing w:after="0"/>
              <w:rPr>
                <w:sz w:val="20"/>
                <w:szCs w:val="20"/>
                <w:color w:val="auto"/>
              </w:rPr>
            </w:pPr>
            <w:r>
              <w:rPr>
                <w:rFonts w:ascii="Arial" w:cs="Arial" w:eastAsia="Arial" w:hAnsi="Arial"/>
                <w:sz w:val="12"/>
                <w:szCs w:val="12"/>
                <w:color w:val="auto"/>
              </w:rPr>
              <w:t>Income before income taxes</w:t>
            </w:r>
          </w:p>
        </w:tc>
        <w:tc>
          <w:tcPr>
            <w:tcW w:w="12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833,568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20,517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(18,308)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835,454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gridSpan w:val="2"/>
          </w:tcPr>
          <w:p>
            <w:pPr>
              <w:ind w:left="20"/>
              <w:spacing w:after="0"/>
              <w:rPr>
                <w:sz w:val="20"/>
                <w:szCs w:val="20"/>
                <w:color w:val="auto"/>
              </w:rPr>
            </w:pPr>
            <w:r>
              <w:rPr>
                <w:rFonts w:ascii="Arial" w:cs="Arial" w:eastAsia="Arial" w:hAnsi="Arial"/>
                <w:sz w:val="12"/>
                <w:szCs w:val="12"/>
                <w:color w:val="auto"/>
              </w:rPr>
              <w:t>Provision for income taxes</w:t>
            </w:r>
          </w:p>
        </w:tc>
        <w:tc>
          <w:tcPr>
            <w:tcW w:w="12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202,370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233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168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(4,529)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198,164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gridSpan w:val="2"/>
          </w:tcPr>
          <w:p>
            <w:pPr>
              <w:ind w:left="20"/>
              <w:spacing w:after="0"/>
              <w:rPr>
                <w:sz w:val="20"/>
                <w:szCs w:val="20"/>
                <w:color w:val="auto"/>
              </w:rPr>
            </w:pPr>
            <w:r>
              <w:rPr>
                <w:rFonts w:ascii="Arial" w:cs="Arial" w:eastAsia="Arial" w:hAnsi="Arial"/>
                <w:sz w:val="12"/>
                <w:szCs w:val="12"/>
                <w:color w:val="auto"/>
              </w:rPr>
              <w:t>Net income attributable to TEGNA Inc.</w:t>
            </w:r>
          </w:p>
        </w:tc>
        <w:tc>
          <w:tcPr>
            <w:tcW w:w="12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630,469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20,284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(245)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(18,476)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4,529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636,561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360" w:type="dxa"/>
            <w:vAlign w:val="bottom"/>
            <w:gridSpan w:val="2"/>
          </w:tcPr>
          <w:p>
            <w:pPr>
              <w:ind w:left="20"/>
              <w:spacing w:after="0"/>
              <w:rPr>
                <w:sz w:val="20"/>
                <w:szCs w:val="20"/>
                <w:color w:val="auto"/>
              </w:rPr>
            </w:pPr>
            <w:r>
              <w:rPr>
                <w:rFonts w:ascii="Arial" w:cs="Arial" w:eastAsia="Arial" w:hAnsi="Arial"/>
                <w:sz w:val="12"/>
                <w:szCs w:val="12"/>
                <w:color w:val="auto"/>
              </w:rPr>
              <w:t xml:space="preserve">Earnings per share-diluted </w:t>
            </w:r>
            <w:r>
              <w:rPr>
                <w:rFonts w:ascii="Arial" w:cs="Arial" w:eastAsia="Arial" w:hAnsi="Arial"/>
                <w:sz w:val="15"/>
                <w:szCs w:val="15"/>
                <w:color w:val="auto"/>
                <w:vertAlign w:val="superscript"/>
              </w:rPr>
              <w:t>(a)</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2.81</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0.09</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(0.08)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0.02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2.83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360" w:type="dxa"/>
            <w:vAlign w:val="bottom"/>
            <w:gridSpan w:val="2"/>
          </w:tcPr>
          <w:p>
            <w:pPr>
              <w:ind w:left="20"/>
              <w:spacing w:after="0"/>
              <w:rPr>
                <w:sz w:val="20"/>
                <w:szCs w:val="20"/>
                <w:color w:val="auto"/>
              </w:rPr>
            </w:pPr>
            <w:r>
              <w:rPr>
                <w:rFonts w:ascii="Arial" w:cs="Arial" w:eastAsia="Arial" w:hAnsi="Arial"/>
                <w:sz w:val="15"/>
                <w:szCs w:val="15"/>
                <w:color w:val="auto"/>
                <w:vertAlign w:val="superscript"/>
              </w:rPr>
              <w:t>(a)</w:t>
            </w:r>
            <w:r>
              <w:rPr>
                <w:rFonts w:ascii="Arial" w:cs="Arial" w:eastAsia="Arial" w:hAnsi="Arial"/>
                <w:sz w:val="12"/>
                <w:szCs w:val="12"/>
                <w:color w:val="auto"/>
              </w:rPr>
              <w:t xml:space="preserve"> Per share amounts do not sum due to rounding.</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6"/>
        </w:trPr>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Special Items</w:t>
            </w: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Advisory fees</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Arial" w:cs="Arial" w:eastAsia="Arial" w:hAnsi="Arial"/>
                <w:sz w:val="12"/>
                <w:szCs w:val="12"/>
                <w:b w:val="1"/>
                <w:bCs w:val="1"/>
                <w:color w:val="auto"/>
              </w:rPr>
              <w:t>Spectrum repacking</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2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Year ended Dec. 31, 2021</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7"/>
              </w:rPr>
              <w:t>GAAP</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related to activism</w:t>
            </w:r>
          </w:p>
        </w:tc>
        <w:tc>
          <w:tcPr>
            <w:tcW w:w="118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6"/>
              </w:rPr>
              <w:t>M&amp;A-related costs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reimbursements</w:t>
            </w:r>
          </w:p>
        </w:tc>
        <w:tc>
          <w:tcPr>
            <w:tcW w:w="100" w:type="dxa"/>
            <w:vAlign w:val="bottom"/>
          </w:tcPr>
          <w:p>
            <w:pPr>
              <w:spacing w:after="0"/>
              <w:rPr>
                <w:sz w:val="12"/>
                <w:szCs w:val="12"/>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7"/>
              </w:rPr>
              <w:t>Other non-</w:t>
            </w:r>
          </w:p>
        </w:tc>
        <w:tc>
          <w:tcPr>
            <w:tcW w:w="14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Special tax</w:t>
            </w:r>
          </w:p>
        </w:tc>
        <w:tc>
          <w:tcPr>
            <w:tcW w:w="120" w:type="dxa"/>
            <w:vAlign w:val="bottom"/>
          </w:tcPr>
          <w:p>
            <w:pPr>
              <w:spacing w:after="0"/>
              <w:rPr>
                <w:sz w:val="12"/>
                <w:szCs w:val="12"/>
                <w:color w:val="auto"/>
              </w:rPr>
            </w:pPr>
          </w:p>
        </w:tc>
        <w:tc>
          <w:tcPr>
            <w:tcW w:w="780" w:type="dxa"/>
            <w:vAlign w:val="bottom"/>
          </w:tcPr>
          <w:p>
            <w:pPr>
              <w:jc w:val="right"/>
              <w:ind w:right="82"/>
              <w:spacing w:after="0"/>
              <w:rPr>
                <w:sz w:val="20"/>
                <w:szCs w:val="20"/>
                <w:color w:val="auto"/>
              </w:rPr>
            </w:pPr>
            <w:r>
              <w:rPr>
                <w:rFonts w:ascii="Arial" w:cs="Arial" w:eastAsia="Arial" w:hAnsi="Arial"/>
                <w:sz w:val="12"/>
                <w:szCs w:val="12"/>
                <w:b w:val="1"/>
                <w:bCs w:val="1"/>
                <w:color w:val="auto"/>
                <w:w w:val="99"/>
              </w:rPr>
              <w:t>Non-GAAP</w:t>
            </w:r>
          </w:p>
        </w:tc>
        <w:tc>
          <w:tcPr>
            <w:tcW w:w="0" w:type="dxa"/>
            <w:vAlign w:val="bottom"/>
          </w:tcPr>
          <w:p>
            <w:pPr>
              <w:spacing w:after="0"/>
              <w:rPr>
                <w:sz w:val="1"/>
                <w:szCs w:val="1"/>
                <w:color w:val="auto"/>
              </w:rPr>
            </w:pPr>
          </w:p>
        </w:tc>
      </w:tr>
      <w:tr>
        <w:trPr>
          <w:trHeight w:val="167"/>
        </w:trPr>
        <w:tc>
          <w:tcPr>
            <w:tcW w:w="32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2"/>
              <w:spacing w:after="0"/>
              <w:rPr>
                <w:sz w:val="20"/>
                <w:szCs w:val="20"/>
                <w:color w:val="auto"/>
              </w:rPr>
            </w:pPr>
            <w:r>
              <w:rPr>
                <w:rFonts w:ascii="Arial" w:cs="Arial" w:eastAsia="Arial" w:hAnsi="Arial"/>
                <w:sz w:val="12"/>
                <w:szCs w:val="12"/>
                <w:b w:val="1"/>
                <w:bCs w:val="1"/>
                <w:color w:val="auto"/>
                <w:w w:val="97"/>
              </w:rPr>
              <w:t>measure</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62"/>
              <w:spacing w:after="0"/>
              <w:rPr>
                <w:sz w:val="20"/>
                <w:szCs w:val="20"/>
                <w:color w:val="auto"/>
              </w:rPr>
            </w:pPr>
            <w:r>
              <w:rPr>
                <w:rFonts w:ascii="Arial" w:cs="Arial" w:eastAsia="Arial" w:hAnsi="Arial"/>
                <w:sz w:val="12"/>
                <w:szCs w:val="12"/>
                <w:b w:val="1"/>
                <w:bCs w:val="1"/>
                <w:color w:val="auto"/>
              </w:rPr>
              <w:t>defense</w:t>
            </w:r>
          </w:p>
        </w:tc>
        <w:tc>
          <w:tcPr>
            <w:tcW w:w="100" w:type="dxa"/>
            <w:vAlign w:val="bottom"/>
          </w:tcPr>
          <w:p>
            <w:pPr>
              <w:spacing w:after="0"/>
              <w:rPr>
                <w:sz w:val="14"/>
                <w:szCs w:val="14"/>
                <w:color w:val="auto"/>
              </w:rPr>
            </w:pPr>
          </w:p>
        </w:tc>
        <w:tc>
          <w:tcPr>
            <w:tcW w:w="1180" w:type="dxa"/>
            <w:vAlign w:val="bottom"/>
            <w:tcBorders>
              <w:bottom w:val="single" w:sz="8" w:color="auto"/>
            </w:tcBorders>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62"/>
              <w:spacing w:after="0"/>
              <w:rPr>
                <w:sz w:val="20"/>
                <w:szCs w:val="20"/>
                <w:color w:val="auto"/>
              </w:rPr>
            </w:pPr>
            <w:r>
              <w:rPr>
                <w:rFonts w:ascii="Arial" w:cs="Arial" w:eastAsia="Arial" w:hAnsi="Arial"/>
                <w:sz w:val="12"/>
                <w:szCs w:val="12"/>
                <w:b w:val="1"/>
                <w:bCs w:val="1"/>
                <w:color w:val="auto"/>
                <w:w w:val="98"/>
              </w:rPr>
              <w:t>and other</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42"/>
              <w:spacing w:after="0"/>
              <w:rPr>
                <w:sz w:val="20"/>
                <w:szCs w:val="20"/>
                <w:color w:val="auto"/>
              </w:rPr>
            </w:pPr>
            <w:r>
              <w:rPr>
                <w:rFonts w:ascii="Arial" w:cs="Arial" w:eastAsia="Arial" w:hAnsi="Arial"/>
                <w:sz w:val="12"/>
                <w:szCs w:val="12"/>
                <w:b w:val="1"/>
                <w:bCs w:val="1"/>
                <w:color w:val="auto"/>
                <w:w w:val="98"/>
              </w:rPr>
              <w:t>operating items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82"/>
              <w:spacing w:after="0"/>
              <w:rPr>
                <w:sz w:val="20"/>
                <w:szCs w:val="20"/>
                <w:color w:val="auto"/>
              </w:rPr>
            </w:pPr>
            <w:r>
              <w:rPr>
                <w:rFonts w:ascii="Arial" w:cs="Arial" w:eastAsia="Arial" w:hAnsi="Arial"/>
                <w:sz w:val="12"/>
                <w:szCs w:val="12"/>
                <w:b w:val="1"/>
                <w:bCs w:val="1"/>
                <w:color w:val="auto"/>
                <w:w w:val="95"/>
              </w:rPr>
              <w:t>items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measure</w:t>
            </w:r>
          </w:p>
        </w:tc>
        <w:tc>
          <w:tcPr>
            <w:tcW w:w="0" w:type="dxa"/>
            <w:vAlign w:val="bottom"/>
          </w:tcPr>
          <w:p>
            <w:pPr>
              <w:spacing w:after="0"/>
              <w:rPr>
                <w:sz w:val="1"/>
                <w:szCs w:val="1"/>
                <w:color w:val="auto"/>
              </w:rPr>
            </w:pPr>
          </w:p>
        </w:tc>
      </w:tr>
      <w:tr>
        <w:trPr>
          <w:trHeight w:val="305"/>
        </w:trPr>
        <w:tc>
          <w:tcPr>
            <w:tcW w:w="3360" w:type="dxa"/>
            <w:vAlign w:val="bottom"/>
            <w:gridSpan w:val="2"/>
          </w:tcPr>
          <w:p>
            <w:pPr>
              <w:ind w:left="20"/>
              <w:spacing w:after="0"/>
              <w:rPr>
                <w:sz w:val="20"/>
                <w:szCs w:val="20"/>
                <w:color w:val="auto"/>
              </w:rPr>
            </w:pPr>
            <w:r>
              <w:rPr>
                <w:rFonts w:ascii="Arial" w:cs="Arial" w:eastAsia="Arial" w:hAnsi="Arial"/>
                <w:sz w:val="12"/>
                <w:szCs w:val="12"/>
                <w:color w:val="auto"/>
              </w:rPr>
              <w:t>Corporate - General and administrative expenses</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68,127</w:t>
            </w:r>
          </w:p>
        </w:tc>
        <w:tc>
          <w:tcPr>
            <w:tcW w:w="1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(16,611)</w:t>
            </w:r>
          </w:p>
        </w:tc>
        <w:tc>
          <w:tcPr>
            <w:tcW w:w="1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(3,738)</w:t>
            </w:r>
          </w:p>
        </w:tc>
        <w:tc>
          <w:tcPr>
            <w:tcW w:w="1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47,778</w:t>
            </w:r>
          </w:p>
        </w:tc>
        <w:tc>
          <w:tcPr>
            <w:tcW w:w="0" w:type="dxa"/>
            <w:vAlign w:val="bottom"/>
          </w:tcPr>
          <w:p>
            <w:pPr>
              <w:spacing w:after="0"/>
              <w:rPr>
                <w:sz w:val="1"/>
                <w:szCs w:val="1"/>
                <w:color w:val="auto"/>
              </w:rPr>
            </w:pPr>
          </w:p>
        </w:tc>
      </w:tr>
      <w:tr>
        <w:trPr>
          <w:trHeight w:val="175"/>
        </w:trPr>
        <w:tc>
          <w:tcPr>
            <w:tcW w:w="3360" w:type="dxa"/>
            <w:vAlign w:val="bottom"/>
            <w:gridSpan w:val="2"/>
          </w:tcPr>
          <w:p>
            <w:pPr>
              <w:ind w:left="20"/>
              <w:spacing w:after="0"/>
              <w:rPr>
                <w:sz w:val="20"/>
                <w:szCs w:val="20"/>
                <w:color w:val="auto"/>
              </w:rPr>
            </w:pPr>
            <w:r>
              <w:rPr>
                <w:rFonts w:ascii="Arial" w:cs="Arial" w:eastAsia="Arial" w:hAnsi="Arial"/>
                <w:sz w:val="12"/>
                <w:szCs w:val="12"/>
                <w:color w:val="auto"/>
              </w:rPr>
              <w:t>Spectrum repacking reimbursements and other, net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(2,307)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2,307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6"/>
        </w:trPr>
        <w:tc>
          <w:tcPr>
            <w:tcW w:w="3360" w:type="dxa"/>
            <w:vAlign w:val="bottom"/>
            <w:gridSpan w:val="2"/>
          </w:tcPr>
          <w:p>
            <w:pPr>
              <w:ind w:left="20"/>
              <w:spacing w:after="0"/>
              <w:rPr>
                <w:sz w:val="20"/>
                <w:szCs w:val="20"/>
                <w:color w:val="auto"/>
              </w:rPr>
            </w:pPr>
            <w:r>
              <w:rPr>
                <w:rFonts w:ascii="Arial" w:cs="Arial" w:eastAsia="Arial" w:hAnsi="Arial"/>
                <w:sz w:val="12"/>
                <w:szCs w:val="12"/>
                <w:color w:val="auto"/>
              </w:rPr>
              <w:t>Operating expenses</w:t>
            </w:r>
          </w:p>
        </w:tc>
        <w:tc>
          <w:tcPr>
            <w:tcW w:w="12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2,188,877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(16,611)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(3,738)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2,307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2,170,835</w:t>
            </w:r>
          </w:p>
        </w:tc>
        <w:tc>
          <w:tcPr>
            <w:tcW w:w="0" w:type="dxa"/>
            <w:vAlign w:val="bottom"/>
          </w:tcPr>
          <w:p>
            <w:pPr>
              <w:spacing w:after="0"/>
              <w:rPr>
                <w:sz w:val="1"/>
                <w:szCs w:val="1"/>
                <w:color w:val="auto"/>
              </w:rPr>
            </w:pPr>
          </w:p>
        </w:tc>
      </w:tr>
      <w:tr>
        <w:trPr>
          <w:trHeight w:val="175"/>
        </w:trPr>
        <w:tc>
          <w:tcPr>
            <w:tcW w:w="3360" w:type="dxa"/>
            <w:vAlign w:val="bottom"/>
            <w:gridSpan w:val="2"/>
          </w:tcPr>
          <w:p>
            <w:pPr>
              <w:ind w:left="20"/>
              <w:spacing w:after="0"/>
              <w:rPr>
                <w:sz w:val="20"/>
                <w:szCs w:val="20"/>
                <w:color w:val="auto"/>
              </w:rPr>
            </w:pPr>
            <w:r>
              <w:rPr>
                <w:rFonts w:ascii="Arial" w:cs="Arial" w:eastAsia="Arial" w:hAnsi="Arial"/>
                <w:sz w:val="12"/>
                <w:szCs w:val="12"/>
                <w:color w:val="auto"/>
              </w:rPr>
              <w:t>Operating income</w:t>
            </w:r>
          </w:p>
        </w:tc>
        <w:tc>
          <w:tcPr>
            <w:tcW w:w="12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802,216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16,611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3,738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(2,307)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820,258</w:t>
            </w:r>
          </w:p>
        </w:tc>
        <w:tc>
          <w:tcPr>
            <w:tcW w:w="0" w:type="dxa"/>
            <w:vAlign w:val="bottom"/>
          </w:tcPr>
          <w:p>
            <w:pPr>
              <w:spacing w:after="0"/>
              <w:rPr>
                <w:sz w:val="1"/>
                <w:szCs w:val="1"/>
                <w:color w:val="auto"/>
              </w:rPr>
            </w:pPr>
          </w:p>
        </w:tc>
      </w:tr>
      <w:tr>
        <w:trPr>
          <w:trHeight w:val="175"/>
        </w:trPr>
        <w:tc>
          <w:tcPr>
            <w:tcW w:w="3360" w:type="dxa"/>
            <w:vAlign w:val="bottom"/>
            <w:gridSpan w:val="2"/>
          </w:tcPr>
          <w:p>
            <w:pPr>
              <w:ind w:left="20"/>
              <w:spacing w:after="0"/>
              <w:rPr>
                <w:sz w:val="20"/>
                <w:szCs w:val="20"/>
                <w:color w:val="auto"/>
              </w:rPr>
            </w:pPr>
            <w:r>
              <w:rPr>
                <w:rFonts w:ascii="Arial" w:cs="Arial" w:eastAsia="Arial" w:hAnsi="Arial"/>
                <w:sz w:val="12"/>
                <w:szCs w:val="12"/>
                <w:color w:val="auto"/>
              </w:rPr>
              <w:t>Equity income (loss) in unconsolidated investments, net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(9,713)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(9,713)</w:t>
            </w:r>
          </w:p>
        </w:tc>
        <w:tc>
          <w:tcPr>
            <w:tcW w:w="0" w:type="dxa"/>
            <w:vAlign w:val="bottom"/>
          </w:tcPr>
          <w:p>
            <w:pPr>
              <w:spacing w:after="0"/>
              <w:rPr>
                <w:sz w:val="1"/>
                <w:szCs w:val="1"/>
                <w:color w:val="auto"/>
              </w:rPr>
            </w:pPr>
          </w:p>
        </w:tc>
      </w:tr>
      <w:tr>
        <w:trPr>
          <w:trHeight w:val="175"/>
        </w:trPr>
        <w:tc>
          <w:tcPr>
            <w:tcW w:w="3360" w:type="dxa"/>
            <w:vAlign w:val="bottom"/>
            <w:gridSpan w:val="2"/>
          </w:tcPr>
          <w:p>
            <w:pPr>
              <w:ind w:left="20"/>
              <w:spacing w:after="0"/>
              <w:rPr>
                <w:sz w:val="20"/>
                <w:szCs w:val="20"/>
                <w:color w:val="auto"/>
              </w:rPr>
            </w:pPr>
            <w:r>
              <w:rPr>
                <w:rFonts w:ascii="Arial" w:cs="Arial" w:eastAsia="Arial" w:hAnsi="Arial"/>
                <w:sz w:val="12"/>
                <w:szCs w:val="12"/>
                <w:color w:val="auto"/>
              </w:rPr>
              <w:t>Other non-operating items, net</w:t>
            </w:r>
          </w:p>
        </w:tc>
        <w:tc>
          <w:tcPr>
            <w:tcW w:w="12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6,825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507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7,332</w:t>
            </w:r>
          </w:p>
        </w:tc>
        <w:tc>
          <w:tcPr>
            <w:tcW w:w="0" w:type="dxa"/>
            <w:vAlign w:val="bottom"/>
          </w:tcPr>
          <w:p>
            <w:pPr>
              <w:spacing w:after="0"/>
              <w:rPr>
                <w:sz w:val="1"/>
                <w:szCs w:val="1"/>
                <w:color w:val="auto"/>
              </w:rPr>
            </w:pPr>
          </w:p>
        </w:tc>
      </w:tr>
      <w:tr>
        <w:trPr>
          <w:trHeight w:val="175"/>
        </w:trPr>
        <w:tc>
          <w:tcPr>
            <w:tcW w:w="3360" w:type="dxa"/>
            <w:vAlign w:val="bottom"/>
            <w:gridSpan w:val="2"/>
          </w:tcPr>
          <w:p>
            <w:pPr>
              <w:ind w:left="20"/>
              <w:spacing w:after="0"/>
              <w:rPr>
                <w:sz w:val="20"/>
                <w:szCs w:val="20"/>
                <w:color w:val="auto"/>
              </w:rPr>
            </w:pPr>
            <w:r>
              <w:rPr>
                <w:rFonts w:ascii="Arial" w:cs="Arial" w:eastAsia="Arial" w:hAnsi="Arial"/>
                <w:sz w:val="12"/>
                <w:szCs w:val="12"/>
                <w:color w:val="auto"/>
              </w:rPr>
              <w:t>Total non-operating expenses</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(188,538)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507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(188,031)</w:t>
            </w:r>
          </w:p>
        </w:tc>
        <w:tc>
          <w:tcPr>
            <w:tcW w:w="0" w:type="dxa"/>
            <w:vAlign w:val="bottom"/>
          </w:tcPr>
          <w:p>
            <w:pPr>
              <w:spacing w:after="0"/>
              <w:rPr>
                <w:sz w:val="1"/>
                <w:szCs w:val="1"/>
                <w:color w:val="auto"/>
              </w:rPr>
            </w:pPr>
          </w:p>
        </w:tc>
      </w:tr>
      <w:tr>
        <w:trPr>
          <w:trHeight w:val="175"/>
        </w:trPr>
        <w:tc>
          <w:tcPr>
            <w:tcW w:w="3360" w:type="dxa"/>
            <w:vAlign w:val="bottom"/>
            <w:gridSpan w:val="2"/>
          </w:tcPr>
          <w:p>
            <w:pPr>
              <w:ind w:left="20"/>
              <w:spacing w:after="0"/>
              <w:rPr>
                <w:sz w:val="20"/>
                <w:szCs w:val="20"/>
                <w:color w:val="auto"/>
              </w:rPr>
            </w:pPr>
            <w:r>
              <w:rPr>
                <w:rFonts w:ascii="Arial" w:cs="Arial" w:eastAsia="Arial" w:hAnsi="Arial"/>
                <w:sz w:val="12"/>
                <w:szCs w:val="12"/>
                <w:color w:val="auto"/>
              </w:rPr>
              <w:t>Income before income taxes</w:t>
            </w:r>
          </w:p>
        </w:tc>
        <w:tc>
          <w:tcPr>
            <w:tcW w:w="12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613,678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16,611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3,738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(2,307)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507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632,227</w:t>
            </w:r>
          </w:p>
        </w:tc>
        <w:tc>
          <w:tcPr>
            <w:tcW w:w="0" w:type="dxa"/>
            <w:vAlign w:val="bottom"/>
          </w:tcPr>
          <w:p>
            <w:pPr>
              <w:spacing w:after="0"/>
              <w:rPr>
                <w:sz w:val="1"/>
                <w:szCs w:val="1"/>
                <w:color w:val="auto"/>
              </w:rPr>
            </w:pPr>
          </w:p>
        </w:tc>
      </w:tr>
      <w:tr>
        <w:trPr>
          <w:trHeight w:val="176"/>
        </w:trPr>
        <w:tc>
          <w:tcPr>
            <w:tcW w:w="3360" w:type="dxa"/>
            <w:vAlign w:val="bottom"/>
            <w:gridSpan w:val="2"/>
          </w:tcPr>
          <w:p>
            <w:pPr>
              <w:ind w:left="20"/>
              <w:spacing w:after="0"/>
              <w:rPr>
                <w:sz w:val="20"/>
                <w:szCs w:val="20"/>
                <w:color w:val="auto"/>
              </w:rPr>
            </w:pPr>
            <w:r>
              <w:rPr>
                <w:rFonts w:ascii="Arial" w:cs="Arial" w:eastAsia="Arial" w:hAnsi="Arial"/>
                <w:sz w:val="12"/>
                <w:szCs w:val="12"/>
                <w:color w:val="auto"/>
              </w:rPr>
              <w:t>Provision for income taxes</w:t>
            </w:r>
          </w:p>
        </w:tc>
        <w:tc>
          <w:tcPr>
            <w:tcW w:w="12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135,481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4,291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60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127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14,138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153,492</w:t>
            </w:r>
          </w:p>
        </w:tc>
        <w:tc>
          <w:tcPr>
            <w:tcW w:w="0" w:type="dxa"/>
            <w:vAlign w:val="bottom"/>
          </w:tcPr>
          <w:p>
            <w:pPr>
              <w:spacing w:after="0"/>
              <w:rPr>
                <w:sz w:val="1"/>
                <w:szCs w:val="1"/>
                <w:color w:val="auto"/>
              </w:rPr>
            </w:pPr>
          </w:p>
        </w:tc>
      </w:tr>
      <w:tr>
        <w:trPr>
          <w:trHeight w:val="175"/>
        </w:trPr>
        <w:tc>
          <w:tcPr>
            <w:tcW w:w="3360" w:type="dxa"/>
            <w:vAlign w:val="bottom"/>
            <w:gridSpan w:val="2"/>
          </w:tcPr>
          <w:p>
            <w:pPr>
              <w:ind w:left="20"/>
              <w:spacing w:after="0"/>
              <w:rPr>
                <w:sz w:val="20"/>
                <w:szCs w:val="20"/>
                <w:color w:val="auto"/>
              </w:rPr>
            </w:pPr>
            <w:r>
              <w:rPr>
                <w:rFonts w:ascii="Arial" w:cs="Arial" w:eastAsia="Arial" w:hAnsi="Arial"/>
                <w:sz w:val="12"/>
                <w:szCs w:val="12"/>
                <w:color w:val="auto"/>
              </w:rPr>
              <w:t>Net income attributable to TEGNA Inc.</w:t>
            </w:r>
          </w:p>
        </w:tc>
        <w:tc>
          <w:tcPr>
            <w:tcW w:w="120" w:type="dxa"/>
            <w:vAlign w:val="bottom"/>
          </w:tcPr>
          <w:p>
            <w:pPr>
              <w:spacing w:after="0"/>
              <w:rPr>
                <w:sz w:val="15"/>
                <w:szCs w:val="15"/>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476,955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12,320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3,678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(1,702)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380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(14,138)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477,493</w:t>
            </w:r>
          </w:p>
        </w:tc>
        <w:tc>
          <w:tcPr>
            <w:tcW w:w="0" w:type="dxa"/>
            <w:vAlign w:val="bottom"/>
          </w:tcPr>
          <w:p>
            <w:pPr>
              <w:spacing w:after="0"/>
              <w:rPr>
                <w:sz w:val="1"/>
                <w:szCs w:val="1"/>
                <w:color w:val="auto"/>
              </w:rPr>
            </w:pPr>
          </w:p>
        </w:tc>
      </w:tr>
      <w:tr>
        <w:trPr>
          <w:trHeight w:val="175"/>
        </w:trPr>
        <w:tc>
          <w:tcPr>
            <w:tcW w:w="3360" w:type="dxa"/>
            <w:vAlign w:val="bottom"/>
            <w:gridSpan w:val="2"/>
          </w:tcPr>
          <w:p>
            <w:pPr>
              <w:ind w:left="20"/>
              <w:spacing w:after="0"/>
              <w:rPr>
                <w:sz w:val="20"/>
                <w:szCs w:val="20"/>
                <w:color w:val="auto"/>
              </w:rPr>
            </w:pPr>
            <w:r>
              <w:rPr>
                <w:rFonts w:ascii="Arial" w:cs="Arial" w:eastAsia="Arial" w:hAnsi="Arial"/>
                <w:sz w:val="12"/>
                <w:szCs w:val="12"/>
                <w:color w:val="auto"/>
              </w:rPr>
              <w:t>Earnings per share-diluted</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2.14</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0.06</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0.02</w:t>
            </w:r>
          </w:p>
        </w:tc>
        <w:tc>
          <w:tcPr>
            <w:tcW w:w="12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(0.01)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(0.06)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2.15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237"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NON-GAAP FINANCIAL INFORMATION</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TEGNA Inc.</w:t>
      </w:r>
    </w:p>
    <w:p>
      <w:pPr>
        <w:spacing w:after="0"/>
        <w:rPr>
          <w:sz w:val="20"/>
          <w:szCs w:val="20"/>
          <w:color w:val="auto"/>
        </w:rPr>
      </w:pPr>
      <w:r>
        <w:rPr>
          <w:rFonts w:ascii="Arial" w:cs="Arial" w:eastAsia="Arial" w:hAnsi="Arial"/>
          <w:sz w:val="20"/>
          <w:szCs w:val="20"/>
          <w:color w:val="auto"/>
        </w:rPr>
        <w:t>Unaudited, in thousands of dollars</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No. 3</w:t>
      </w:r>
    </w:p>
    <w:p>
      <w:pPr>
        <w:spacing w:after="0" w:line="181" w:lineRule="exact"/>
        <w:rPr>
          <w:sz w:val="20"/>
          <w:szCs w:val="20"/>
          <w:color w:val="auto"/>
        </w:rPr>
      </w:pPr>
    </w:p>
    <w:p>
      <w:pPr>
        <w:ind w:left="20" w:right="780"/>
        <w:spacing w:after="0" w:line="251" w:lineRule="auto"/>
        <w:rPr>
          <w:sz w:val="20"/>
          <w:szCs w:val="20"/>
          <w:color w:val="auto"/>
        </w:rPr>
      </w:pPr>
      <w:r>
        <w:rPr>
          <w:rFonts w:ascii="Arial" w:cs="Arial" w:eastAsia="Arial" w:hAnsi="Arial"/>
          <w:sz w:val="16"/>
          <w:szCs w:val="16"/>
          <w:color w:val="auto"/>
        </w:rPr>
        <w:t>Reconciliations of Adjusted EBITDA to net income presented in accordance with GAAP on the company's Consolidated Statements of Income are presented below:</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67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5"/>
          </w:tcPr>
          <w:p>
            <w:pPr>
              <w:jc w:val="center"/>
              <w:ind w:left="879"/>
              <w:spacing w:after="0"/>
              <w:rPr>
                <w:sz w:val="20"/>
                <w:szCs w:val="20"/>
                <w:color w:val="auto"/>
              </w:rPr>
            </w:pPr>
            <w:r>
              <w:rPr>
                <w:rFonts w:ascii="Arial" w:cs="Arial" w:eastAsia="Arial" w:hAnsi="Arial"/>
                <w:sz w:val="16"/>
                <w:szCs w:val="16"/>
                <w:color w:val="auto"/>
              </w:rPr>
              <w:t>Quarter ended Dec. 31,</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417"/>
        </w:trPr>
        <w:tc>
          <w:tcPr>
            <w:tcW w:w="6720" w:type="dxa"/>
            <w:vAlign w:val="bottom"/>
          </w:tcPr>
          <w:p>
            <w:pPr>
              <w:spacing w:after="0"/>
              <w:rPr>
                <w:sz w:val="20"/>
                <w:szCs w:val="20"/>
                <w:color w:val="auto"/>
              </w:rPr>
            </w:pPr>
            <w:r>
              <w:rPr>
                <w:rFonts w:ascii="Arial" w:cs="Arial" w:eastAsia="Arial" w:hAnsi="Arial"/>
                <w:sz w:val="16"/>
                <w:szCs w:val="16"/>
                <w:color w:val="auto"/>
              </w:rPr>
              <w:t>Net income attributable to TEGNA Inc. (GAAP basis)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218,601</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129,431</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244,304</w:t>
            </w:r>
          </w:p>
        </w:tc>
        <w:tc>
          <w:tcPr>
            <w:tcW w:w="0" w:type="dxa"/>
            <w:vAlign w:val="bottom"/>
          </w:tcPr>
          <w:p>
            <w:pPr>
              <w:spacing w:after="0"/>
              <w:rPr>
                <w:sz w:val="1"/>
                <w:szCs w:val="1"/>
                <w:color w:val="auto"/>
              </w:rPr>
            </w:pPr>
          </w:p>
        </w:tc>
      </w:tr>
      <w:tr>
        <w:trPr>
          <w:trHeight w:val="216"/>
        </w:trPr>
        <w:tc>
          <w:tcPr>
            <w:tcW w:w="6720" w:type="dxa"/>
            <w:vAlign w:val="bottom"/>
          </w:tcPr>
          <w:p>
            <w:pPr>
              <w:ind w:left="340"/>
              <w:spacing w:after="0"/>
              <w:rPr>
                <w:sz w:val="20"/>
                <w:szCs w:val="20"/>
                <w:color w:val="auto"/>
              </w:rPr>
            </w:pPr>
            <w:r>
              <w:rPr>
                <w:rFonts w:ascii="Arial" w:cs="Arial" w:eastAsia="Arial" w:hAnsi="Arial"/>
                <w:sz w:val="16"/>
                <w:szCs w:val="16"/>
                <w:color w:val="auto"/>
              </w:rPr>
              <w:t>Plus: Net income attributable to redeemable noncontrolling interest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16"/>
        </w:trPr>
        <w:tc>
          <w:tcPr>
            <w:tcW w:w="6720" w:type="dxa"/>
            <w:vAlign w:val="bottom"/>
          </w:tcPr>
          <w:p>
            <w:pPr>
              <w:ind w:left="340"/>
              <w:spacing w:after="0"/>
              <w:rPr>
                <w:sz w:val="20"/>
                <w:szCs w:val="20"/>
                <w:color w:val="auto"/>
              </w:rPr>
            </w:pPr>
            <w:r>
              <w:rPr>
                <w:rFonts w:ascii="Arial" w:cs="Arial" w:eastAsia="Arial" w:hAnsi="Arial"/>
                <w:sz w:val="16"/>
                <w:szCs w:val="16"/>
                <w:color w:val="auto"/>
              </w:rPr>
              <w:t>Plus: Provision for income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69,775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32,011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84,594</w:t>
            </w:r>
          </w:p>
        </w:tc>
        <w:tc>
          <w:tcPr>
            <w:tcW w:w="0" w:type="dxa"/>
            <w:vAlign w:val="bottom"/>
          </w:tcPr>
          <w:p>
            <w:pPr>
              <w:spacing w:after="0"/>
              <w:rPr>
                <w:sz w:val="1"/>
                <w:szCs w:val="1"/>
                <w:color w:val="auto"/>
              </w:rPr>
            </w:pPr>
          </w:p>
        </w:tc>
      </w:tr>
      <w:tr>
        <w:trPr>
          <w:trHeight w:val="216"/>
        </w:trPr>
        <w:tc>
          <w:tcPr>
            <w:tcW w:w="6720" w:type="dxa"/>
            <w:vAlign w:val="bottom"/>
          </w:tcPr>
          <w:p>
            <w:pPr>
              <w:ind w:left="340"/>
              <w:spacing w:after="0"/>
              <w:rPr>
                <w:sz w:val="20"/>
                <w:szCs w:val="20"/>
                <w:color w:val="auto"/>
              </w:rPr>
            </w:pPr>
            <w:r>
              <w:rPr>
                <w:rFonts w:ascii="Arial" w:cs="Arial" w:eastAsia="Arial" w:hAnsi="Arial"/>
                <w:sz w:val="16"/>
                <w:szCs w:val="16"/>
                <w:color w:val="auto"/>
              </w:rPr>
              <w:t>Plus: Interest expense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44,046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46,079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49,561</w:t>
            </w:r>
          </w:p>
        </w:tc>
        <w:tc>
          <w:tcPr>
            <w:tcW w:w="0" w:type="dxa"/>
            <w:vAlign w:val="bottom"/>
          </w:tcPr>
          <w:p>
            <w:pPr>
              <w:spacing w:after="0"/>
              <w:rPr>
                <w:sz w:val="1"/>
                <w:szCs w:val="1"/>
                <w:color w:val="auto"/>
              </w:rPr>
            </w:pPr>
          </w:p>
        </w:tc>
      </w:tr>
      <w:tr>
        <w:trPr>
          <w:trHeight w:val="216"/>
        </w:trPr>
        <w:tc>
          <w:tcPr>
            <w:tcW w:w="6720" w:type="dxa"/>
            <w:vAlign w:val="bottom"/>
          </w:tcPr>
          <w:p>
            <w:pPr>
              <w:ind w:left="340"/>
              <w:spacing w:after="0"/>
              <w:rPr>
                <w:sz w:val="20"/>
                <w:szCs w:val="20"/>
                <w:color w:val="auto"/>
              </w:rPr>
            </w:pPr>
            <w:r>
              <w:rPr>
                <w:rFonts w:ascii="Arial" w:cs="Arial" w:eastAsia="Arial" w:hAnsi="Arial"/>
                <w:sz w:val="16"/>
                <w:szCs w:val="16"/>
                <w:color w:val="auto"/>
              </w:rPr>
              <w:t>Plus (Less): Equity loss (income) in unconsolidated investments,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(1,990)</w:t>
            </w:r>
          </w:p>
        </w:tc>
        <w:tc>
          <w:tcPr>
            <w:tcW w:w="0" w:type="dxa"/>
            <w:vAlign w:val="bottom"/>
          </w:tcPr>
          <w:p>
            <w:pPr>
              <w:spacing w:after="0"/>
              <w:rPr>
                <w:sz w:val="1"/>
                <w:szCs w:val="1"/>
                <w:color w:val="auto"/>
              </w:rPr>
            </w:pPr>
          </w:p>
        </w:tc>
      </w:tr>
      <w:tr>
        <w:trPr>
          <w:trHeight w:val="216"/>
        </w:trPr>
        <w:tc>
          <w:tcPr>
            <w:tcW w:w="6720" w:type="dxa"/>
            <w:vAlign w:val="bottom"/>
          </w:tcPr>
          <w:p>
            <w:pPr>
              <w:ind w:left="340"/>
              <w:spacing w:after="0"/>
              <w:rPr>
                <w:sz w:val="20"/>
                <w:szCs w:val="20"/>
                <w:color w:val="auto"/>
              </w:rPr>
            </w:pPr>
            <w:r>
              <w:rPr>
                <w:rFonts w:ascii="Arial" w:cs="Arial" w:eastAsia="Arial" w:hAnsi="Arial"/>
                <w:sz w:val="16"/>
                <w:szCs w:val="16"/>
                <w:color w:val="auto"/>
              </w:rPr>
              <w:t>(Less) Plus: Other non-operating items, net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(4,667)</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16,759</w:t>
            </w:r>
          </w:p>
        </w:tc>
        <w:tc>
          <w:tcPr>
            <w:tcW w:w="0" w:type="dxa"/>
            <w:vAlign w:val="bottom"/>
          </w:tcPr>
          <w:p>
            <w:pPr>
              <w:spacing w:after="0"/>
              <w:rPr>
                <w:sz w:val="1"/>
                <w:szCs w:val="1"/>
                <w:color w:val="auto"/>
              </w:rPr>
            </w:pPr>
          </w:p>
        </w:tc>
      </w:tr>
      <w:tr>
        <w:trPr>
          <w:trHeight w:val="210"/>
        </w:trPr>
        <w:tc>
          <w:tcPr>
            <w:tcW w:w="6720" w:type="dxa"/>
            <w:vAlign w:val="bottom"/>
          </w:tcPr>
          <w:p>
            <w:pPr>
              <w:spacing w:after="0"/>
              <w:rPr>
                <w:sz w:val="20"/>
                <w:szCs w:val="20"/>
                <w:color w:val="auto"/>
              </w:rPr>
            </w:pPr>
            <w:r>
              <w:rPr>
                <w:rFonts w:ascii="Arial" w:cs="Arial" w:eastAsia="Arial" w:hAnsi="Arial"/>
                <w:sz w:val="16"/>
                <w:szCs w:val="16"/>
                <w:color w:val="auto"/>
              </w:rPr>
              <w:t>Operating income (GAAP basis)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328,216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209,414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393,646</w:t>
            </w:r>
          </w:p>
        </w:tc>
        <w:tc>
          <w:tcPr>
            <w:tcW w:w="0" w:type="dxa"/>
            <w:vAlign w:val="bottom"/>
          </w:tcPr>
          <w:p>
            <w:pPr>
              <w:spacing w:after="0"/>
              <w:rPr>
                <w:sz w:val="1"/>
                <w:szCs w:val="1"/>
                <w:color w:val="auto"/>
              </w:rPr>
            </w:pPr>
          </w:p>
        </w:tc>
      </w:tr>
      <w:tr>
        <w:trPr>
          <w:trHeight w:val="215"/>
        </w:trPr>
        <w:tc>
          <w:tcPr>
            <w:tcW w:w="6720" w:type="dxa"/>
            <w:vAlign w:val="bottom"/>
          </w:tcPr>
          <w:p>
            <w:pPr>
              <w:ind w:left="340"/>
              <w:spacing w:after="0"/>
              <w:rPr>
                <w:sz w:val="20"/>
                <w:szCs w:val="20"/>
                <w:color w:val="auto"/>
              </w:rPr>
            </w:pPr>
            <w:r>
              <w:rPr>
                <w:rFonts w:ascii="Arial" w:cs="Arial" w:eastAsia="Arial" w:hAnsi="Arial"/>
                <w:sz w:val="16"/>
                <w:szCs w:val="16"/>
                <w:color w:val="auto"/>
              </w:rPr>
              <w:t>Plus: M&amp;A-related costs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720" w:type="dxa"/>
            <w:vAlign w:val="bottom"/>
          </w:tcPr>
          <w:p>
            <w:pPr>
              <w:ind w:left="340"/>
              <w:spacing w:after="0"/>
              <w:rPr>
                <w:sz w:val="20"/>
                <w:szCs w:val="20"/>
                <w:color w:val="auto"/>
              </w:rPr>
            </w:pPr>
            <w:r>
              <w:rPr>
                <w:rFonts w:ascii="Arial" w:cs="Arial" w:eastAsia="Arial" w:hAnsi="Arial"/>
                <w:sz w:val="16"/>
                <w:szCs w:val="16"/>
                <w:color w:val="auto"/>
              </w:rPr>
              <w:t>(Less) Plus: Spectrum repacking reimbursements and other, net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210"/>
        </w:trPr>
        <w:tc>
          <w:tcPr>
            <w:tcW w:w="6720" w:type="dxa"/>
            <w:vAlign w:val="bottom"/>
          </w:tcPr>
          <w:p>
            <w:pPr>
              <w:spacing w:after="0"/>
              <w:rPr>
                <w:sz w:val="20"/>
                <w:szCs w:val="20"/>
                <w:color w:val="auto"/>
              </w:rPr>
            </w:pPr>
            <w:r>
              <w:rPr>
                <w:rFonts w:ascii="Arial" w:cs="Arial" w:eastAsia="Arial" w:hAnsi="Arial"/>
                <w:sz w:val="16"/>
                <w:szCs w:val="16"/>
                <w:color w:val="auto"/>
              </w:rPr>
              <w:t>Adjusted operating income (non-GAAP basis)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330,585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213,239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394,224</w:t>
            </w:r>
          </w:p>
        </w:tc>
        <w:tc>
          <w:tcPr>
            <w:tcW w:w="0" w:type="dxa"/>
            <w:vAlign w:val="bottom"/>
          </w:tcPr>
          <w:p>
            <w:pPr>
              <w:spacing w:after="0"/>
              <w:rPr>
                <w:sz w:val="1"/>
                <w:szCs w:val="1"/>
                <w:color w:val="auto"/>
              </w:rPr>
            </w:pPr>
          </w:p>
        </w:tc>
      </w:tr>
      <w:tr>
        <w:trPr>
          <w:trHeight w:val="215"/>
        </w:trPr>
        <w:tc>
          <w:tcPr>
            <w:tcW w:w="6720" w:type="dxa"/>
            <w:vAlign w:val="bottom"/>
          </w:tcPr>
          <w:p>
            <w:pPr>
              <w:ind w:left="340"/>
              <w:spacing w:after="0"/>
              <w:rPr>
                <w:sz w:val="20"/>
                <w:szCs w:val="20"/>
                <w:color w:val="auto"/>
              </w:rPr>
            </w:pPr>
            <w:r>
              <w:rPr>
                <w:rFonts w:ascii="Arial" w:cs="Arial" w:eastAsia="Arial" w:hAnsi="Arial"/>
                <w:sz w:val="16"/>
                <w:szCs w:val="16"/>
                <w:color w:val="auto"/>
              </w:rPr>
              <w:t>Plus: Depreciation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15,137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16,315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17,183</w:t>
            </w:r>
          </w:p>
        </w:tc>
        <w:tc>
          <w:tcPr>
            <w:tcW w:w="0" w:type="dxa"/>
            <w:vAlign w:val="bottom"/>
          </w:tcPr>
          <w:p>
            <w:pPr>
              <w:spacing w:after="0"/>
              <w:rPr>
                <w:sz w:val="1"/>
                <w:szCs w:val="1"/>
                <w:color w:val="auto"/>
              </w:rPr>
            </w:pPr>
          </w:p>
        </w:tc>
      </w:tr>
      <w:tr>
        <w:trPr>
          <w:trHeight w:val="217"/>
        </w:trPr>
        <w:tc>
          <w:tcPr>
            <w:tcW w:w="6720" w:type="dxa"/>
            <w:vAlign w:val="bottom"/>
          </w:tcPr>
          <w:p>
            <w:pPr>
              <w:ind w:left="340"/>
              <w:spacing w:after="0"/>
              <w:rPr>
                <w:sz w:val="20"/>
                <w:szCs w:val="20"/>
                <w:color w:val="auto"/>
              </w:rPr>
            </w:pPr>
            <w:r>
              <w:rPr>
                <w:rFonts w:ascii="Arial" w:cs="Arial" w:eastAsia="Arial" w:hAnsi="Arial"/>
                <w:sz w:val="16"/>
                <w:szCs w:val="16"/>
                <w:color w:val="auto"/>
              </w:rPr>
              <w:t>Plus: Amortization of intangible assets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15,704</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17,113</w:t>
            </w:r>
          </w:p>
        </w:tc>
        <w:tc>
          <w:tcPr>
            <w:tcW w:w="0" w:type="dxa"/>
            <w:vAlign w:val="bottom"/>
          </w:tcPr>
          <w:p>
            <w:pPr>
              <w:spacing w:after="0"/>
              <w:rPr>
                <w:sz w:val="1"/>
                <w:szCs w:val="1"/>
                <w:color w:val="auto"/>
              </w:rPr>
            </w:pPr>
          </w:p>
        </w:tc>
      </w:tr>
      <w:tr>
        <w:trPr>
          <w:trHeight w:val="211"/>
        </w:trPr>
        <w:tc>
          <w:tcPr>
            <w:tcW w:w="6720" w:type="dxa"/>
            <w:vAlign w:val="bottom"/>
          </w:tcPr>
          <w:p>
            <w:pPr>
              <w:spacing w:after="0"/>
              <w:rPr>
                <w:sz w:val="20"/>
                <w:szCs w:val="20"/>
                <w:color w:val="auto"/>
              </w:rPr>
            </w:pPr>
            <w:r>
              <w:rPr>
                <w:rFonts w:ascii="Arial" w:cs="Arial" w:eastAsia="Arial" w:hAnsi="Arial"/>
                <w:sz w:val="16"/>
                <w:szCs w:val="16"/>
                <w:color w:val="auto"/>
              </w:rPr>
              <w:t>Adjusted EBITDA (non-GAAP basis)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360,652</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245,258</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428,520</w:t>
            </w:r>
          </w:p>
        </w:tc>
        <w:tc>
          <w:tcPr>
            <w:tcW w:w="0" w:type="dxa"/>
            <w:vAlign w:val="bottom"/>
          </w:tcPr>
          <w:p>
            <w:pPr>
              <w:spacing w:after="0"/>
              <w:rPr>
                <w:sz w:val="1"/>
                <w:szCs w:val="1"/>
                <w:color w:val="auto"/>
              </w:rPr>
            </w:pPr>
          </w:p>
        </w:tc>
      </w:tr>
      <w:tr>
        <w:trPr>
          <w:trHeight w:val="21"/>
        </w:trPr>
        <w:tc>
          <w:tcPr>
            <w:tcW w:w="6720" w:type="dxa"/>
            <w:vAlign w:val="bottom"/>
            <w:vMerge w:val="restart"/>
          </w:tcPr>
          <w:p>
            <w:pPr>
              <w:spacing w:after="0"/>
              <w:rPr>
                <w:sz w:val="20"/>
                <w:szCs w:val="20"/>
                <w:color w:val="auto"/>
              </w:rPr>
            </w:pPr>
            <w:r>
              <w:rPr>
                <w:rFonts w:ascii="Arial" w:cs="Arial" w:eastAsia="Arial" w:hAnsi="Arial"/>
                <w:sz w:val="16"/>
                <w:szCs w:val="16"/>
                <w:color w:val="auto"/>
              </w:rPr>
              <w:t>Corporate - General and administrative expense (non-GAAP basis)</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72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9,439</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12,006</w:t>
            </w:r>
          </w:p>
        </w:tc>
        <w:tc>
          <w:tcPr>
            <w:tcW w:w="0" w:type="dxa"/>
            <w:vAlign w:val="bottom"/>
          </w:tcPr>
          <w:p>
            <w:pPr>
              <w:spacing w:after="0"/>
              <w:rPr>
                <w:sz w:val="1"/>
                <w:szCs w:val="1"/>
                <w:color w:val="auto"/>
              </w:rPr>
            </w:pPr>
          </w:p>
        </w:tc>
      </w:tr>
      <w:tr>
        <w:trPr>
          <w:trHeight w:val="210"/>
        </w:trPr>
        <w:tc>
          <w:tcPr>
            <w:tcW w:w="6720" w:type="dxa"/>
            <w:vAlign w:val="bottom"/>
          </w:tcPr>
          <w:p>
            <w:pPr>
              <w:spacing w:after="0"/>
              <w:rPr>
                <w:sz w:val="20"/>
                <w:szCs w:val="20"/>
                <w:color w:val="auto"/>
              </w:rPr>
            </w:pPr>
            <w:r>
              <w:rPr>
                <w:rFonts w:ascii="Arial" w:cs="Arial" w:eastAsia="Arial" w:hAnsi="Arial"/>
                <w:sz w:val="16"/>
                <w:szCs w:val="16"/>
                <w:color w:val="auto"/>
              </w:rPr>
              <w:t>Adjusted EBITDA, excluding Corporate (non-GAAP basis)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370,091</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257,703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440,526</w:t>
            </w:r>
          </w:p>
        </w:tc>
        <w:tc>
          <w:tcPr>
            <w:tcW w:w="0" w:type="dxa"/>
            <w:vAlign w:val="bottom"/>
          </w:tcPr>
          <w:p>
            <w:pPr>
              <w:spacing w:after="0"/>
              <w:rPr>
                <w:sz w:val="1"/>
                <w:szCs w:val="1"/>
                <w:color w:val="auto"/>
              </w:rPr>
            </w:pPr>
          </w:p>
        </w:tc>
      </w:tr>
      <w:tr>
        <w:trPr>
          <w:trHeight w:val="21"/>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3"/>
        </w:trPr>
        <w:tc>
          <w:tcPr>
            <w:tcW w:w="6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6"/>
                <w:szCs w:val="16"/>
                <w:color w:val="auto"/>
              </w:rPr>
              <w:t>Year ended Dec. 31,</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417"/>
        </w:trPr>
        <w:tc>
          <w:tcPr>
            <w:tcW w:w="6720" w:type="dxa"/>
            <w:vAlign w:val="bottom"/>
          </w:tcPr>
          <w:p>
            <w:pPr>
              <w:spacing w:after="0"/>
              <w:rPr>
                <w:sz w:val="20"/>
                <w:szCs w:val="20"/>
                <w:color w:val="auto"/>
              </w:rPr>
            </w:pPr>
            <w:r>
              <w:rPr>
                <w:rFonts w:ascii="Arial" w:cs="Arial" w:eastAsia="Arial" w:hAnsi="Arial"/>
                <w:sz w:val="16"/>
                <w:szCs w:val="16"/>
                <w:color w:val="auto"/>
              </w:rPr>
              <w:t>Net income attributable to TEGNA Inc. (GAAP basis)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630,469</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476,955</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482,778</w:t>
            </w:r>
          </w:p>
        </w:tc>
        <w:tc>
          <w:tcPr>
            <w:tcW w:w="0" w:type="dxa"/>
            <w:vAlign w:val="bottom"/>
          </w:tcPr>
          <w:p>
            <w:pPr>
              <w:spacing w:after="0"/>
              <w:rPr>
                <w:sz w:val="1"/>
                <w:szCs w:val="1"/>
                <w:color w:val="auto"/>
              </w:rPr>
            </w:pPr>
          </w:p>
        </w:tc>
      </w:tr>
      <w:tr>
        <w:trPr>
          <w:trHeight w:val="216"/>
        </w:trPr>
        <w:tc>
          <w:tcPr>
            <w:tcW w:w="6720" w:type="dxa"/>
            <w:vAlign w:val="bottom"/>
          </w:tcPr>
          <w:p>
            <w:pPr>
              <w:ind w:left="340"/>
              <w:spacing w:after="0"/>
              <w:rPr>
                <w:sz w:val="20"/>
                <w:szCs w:val="20"/>
                <w:color w:val="auto"/>
              </w:rPr>
            </w:pPr>
            <w:r>
              <w:rPr>
                <w:rFonts w:ascii="Arial" w:cs="Arial" w:eastAsia="Arial" w:hAnsi="Arial"/>
                <w:sz w:val="16"/>
                <w:szCs w:val="16"/>
                <w:color w:val="auto"/>
              </w:rPr>
              <w:t>Plus (Less): Net income (loss) attributable to redeemable noncontrolling interest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6720" w:type="dxa"/>
            <w:vAlign w:val="bottom"/>
          </w:tcPr>
          <w:p>
            <w:pPr>
              <w:ind w:left="340"/>
              <w:spacing w:after="0"/>
              <w:rPr>
                <w:sz w:val="20"/>
                <w:szCs w:val="20"/>
                <w:color w:val="auto"/>
              </w:rPr>
            </w:pPr>
            <w:r>
              <w:rPr>
                <w:rFonts w:ascii="Arial" w:cs="Arial" w:eastAsia="Arial" w:hAnsi="Arial"/>
                <w:sz w:val="16"/>
                <w:szCs w:val="16"/>
                <w:color w:val="auto"/>
              </w:rPr>
              <w:t>Plus: Provision for income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202,370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135,481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154,293</w:t>
            </w:r>
          </w:p>
        </w:tc>
        <w:tc>
          <w:tcPr>
            <w:tcW w:w="0" w:type="dxa"/>
            <w:vAlign w:val="bottom"/>
          </w:tcPr>
          <w:p>
            <w:pPr>
              <w:spacing w:after="0"/>
              <w:rPr>
                <w:sz w:val="1"/>
                <w:szCs w:val="1"/>
                <w:color w:val="auto"/>
              </w:rPr>
            </w:pPr>
          </w:p>
        </w:tc>
      </w:tr>
      <w:tr>
        <w:trPr>
          <w:trHeight w:val="216"/>
        </w:trPr>
        <w:tc>
          <w:tcPr>
            <w:tcW w:w="6720" w:type="dxa"/>
            <w:vAlign w:val="bottom"/>
          </w:tcPr>
          <w:p>
            <w:pPr>
              <w:ind w:left="340"/>
              <w:spacing w:after="0"/>
              <w:rPr>
                <w:sz w:val="20"/>
                <w:szCs w:val="20"/>
                <w:color w:val="auto"/>
              </w:rPr>
            </w:pPr>
            <w:r>
              <w:rPr>
                <w:rFonts w:ascii="Arial" w:cs="Arial" w:eastAsia="Arial" w:hAnsi="Arial"/>
                <w:sz w:val="16"/>
                <w:szCs w:val="16"/>
                <w:color w:val="auto"/>
              </w:rPr>
              <w:t>Plus: Interest expense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174,022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185,650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210,294</w:t>
            </w:r>
          </w:p>
        </w:tc>
        <w:tc>
          <w:tcPr>
            <w:tcW w:w="0" w:type="dxa"/>
            <w:vAlign w:val="bottom"/>
          </w:tcPr>
          <w:p>
            <w:pPr>
              <w:spacing w:after="0"/>
              <w:rPr>
                <w:sz w:val="1"/>
                <w:szCs w:val="1"/>
                <w:color w:val="auto"/>
              </w:rPr>
            </w:pPr>
          </w:p>
        </w:tc>
      </w:tr>
      <w:tr>
        <w:trPr>
          <w:trHeight w:val="216"/>
        </w:trPr>
        <w:tc>
          <w:tcPr>
            <w:tcW w:w="6720" w:type="dxa"/>
            <w:vAlign w:val="bottom"/>
          </w:tcPr>
          <w:p>
            <w:pPr>
              <w:ind w:left="340"/>
              <w:spacing w:after="0"/>
              <w:rPr>
                <w:sz w:val="20"/>
                <w:szCs w:val="20"/>
                <w:color w:val="auto"/>
              </w:rPr>
            </w:pPr>
            <w:r>
              <w:rPr>
                <w:rFonts w:ascii="Arial" w:cs="Arial" w:eastAsia="Arial" w:hAnsi="Arial"/>
                <w:sz w:val="16"/>
                <w:szCs w:val="16"/>
                <w:color w:val="auto"/>
              </w:rPr>
              <w:t>Plus (Less): Equity loss (income) in unconsolidated investments,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(10,397)</w:t>
            </w:r>
          </w:p>
        </w:tc>
        <w:tc>
          <w:tcPr>
            <w:tcW w:w="0" w:type="dxa"/>
            <w:vAlign w:val="bottom"/>
          </w:tcPr>
          <w:p>
            <w:pPr>
              <w:spacing w:after="0"/>
              <w:rPr>
                <w:sz w:val="1"/>
                <w:szCs w:val="1"/>
                <w:color w:val="auto"/>
              </w:rPr>
            </w:pPr>
          </w:p>
        </w:tc>
      </w:tr>
      <w:tr>
        <w:trPr>
          <w:trHeight w:val="216"/>
        </w:trPr>
        <w:tc>
          <w:tcPr>
            <w:tcW w:w="6720" w:type="dxa"/>
            <w:vAlign w:val="bottom"/>
          </w:tcPr>
          <w:p>
            <w:pPr>
              <w:ind w:left="340"/>
              <w:spacing w:after="0"/>
              <w:rPr>
                <w:sz w:val="20"/>
                <w:szCs w:val="20"/>
                <w:color w:val="auto"/>
              </w:rPr>
            </w:pPr>
            <w:r>
              <w:rPr>
                <w:rFonts w:ascii="Arial" w:cs="Arial" w:eastAsia="Arial" w:hAnsi="Arial"/>
                <w:sz w:val="16"/>
                <w:szCs w:val="16"/>
                <w:color w:val="auto"/>
              </w:rPr>
              <w:t>(Less) Plus: Other non-operating items, net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(21,431)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34,029</w:t>
            </w:r>
          </w:p>
        </w:tc>
        <w:tc>
          <w:tcPr>
            <w:tcW w:w="0" w:type="dxa"/>
            <w:vAlign w:val="bottom"/>
          </w:tcPr>
          <w:p>
            <w:pPr>
              <w:spacing w:after="0"/>
              <w:rPr>
                <w:sz w:val="1"/>
                <w:szCs w:val="1"/>
                <w:color w:val="auto"/>
              </w:rPr>
            </w:pPr>
          </w:p>
        </w:tc>
      </w:tr>
      <w:tr>
        <w:trPr>
          <w:trHeight w:val="210"/>
        </w:trPr>
        <w:tc>
          <w:tcPr>
            <w:tcW w:w="6720" w:type="dxa"/>
            <w:vAlign w:val="bottom"/>
          </w:tcPr>
          <w:p>
            <w:pPr>
              <w:spacing w:after="0"/>
              <w:rPr>
                <w:sz w:val="20"/>
                <w:szCs w:val="20"/>
                <w:color w:val="auto"/>
              </w:rPr>
            </w:pPr>
            <w:r>
              <w:rPr>
                <w:rFonts w:ascii="Arial" w:cs="Arial" w:eastAsia="Arial" w:hAnsi="Arial"/>
                <w:sz w:val="16"/>
                <w:szCs w:val="16"/>
                <w:color w:val="auto"/>
              </w:rPr>
              <w:t>Operating income (GAAP basis)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990,632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802,216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870,982</w:t>
            </w:r>
          </w:p>
        </w:tc>
        <w:tc>
          <w:tcPr>
            <w:tcW w:w="0" w:type="dxa"/>
            <w:vAlign w:val="bottom"/>
          </w:tcPr>
          <w:p>
            <w:pPr>
              <w:spacing w:after="0"/>
              <w:rPr>
                <w:sz w:val="1"/>
                <w:szCs w:val="1"/>
                <w:color w:val="auto"/>
              </w:rPr>
            </w:pPr>
          </w:p>
        </w:tc>
      </w:tr>
      <w:tr>
        <w:trPr>
          <w:trHeight w:val="215"/>
        </w:trPr>
        <w:tc>
          <w:tcPr>
            <w:tcW w:w="6720" w:type="dxa"/>
            <w:vAlign w:val="bottom"/>
          </w:tcPr>
          <w:p>
            <w:pPr>
              <w:ind w:left="340"/>
              <w:spacing w:after="0"/>
              <w:rPr>
                <w:sz w:val="20"/>
                <w:szCs w:val="20"/>
                <w:color w:val="auto"/>
              </w:rPr>
            </w:pPr>
            <w:r>
              <w:rPr>
                <w:rFonts w:ascii="Arial" w:cs="Arial" w:eastAsia="Arial" w:hAnsi="Arial"/>
                <w:sz w:val="16"/>
                <w:szCs w:val="16"/>
                <w:color w:val="auto"/>
              </w:rPr>
              <w:t>Plus: Workforce restructuring expense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1,021</w:t>
            </w:r>
          </w:p>
        </w:tc>
        <w:tc>
          <w:tcPr>
            <w:tcW w:w="0" w:type="dxa"/>
            <w:vAlign w:val="bottom"/>
          </w:tcPr>
          <w:p>
            <w:pPr>
              <w:spacing w:after="0"/>
              <w:rPr>
                <w:sz w:val="1"/>
                <w:szCs w:val="1"/>
                <w:color w:val="auto"/>
              </w:rPr>
            </w:pPr>
          </w:p>
        </w:tc>
      </w:tr>
      <w:tr>
        <w:trPr>
          <w:trHeight w:val="216"/>
        </w:trPr>
        <w:tc>
          <w:tcPr>
            <w:tcW w:w="6720" w:type="dxa"/>
            <w:vAlign w:val="bottom"/>
          </w:tcPr>
          <w:p>
            <w:pPr>
              <w:ind w:left="340"/>
              <w:spacing w:after="0"/>
              <w:rPr>
                <w:sz w:val="20"/>
                <w:szCs w:val="20"/>
                <w:color w:val="auto"/>
              </w:rPr>
            </w:pPr>
            <w:r>
              <w:rPr>
                <w:rFonts w:ascii="Arial" w:cs="Arial" w:eastAsia="Arial" w:hAnsi="Arial"/>
                <w:sz w:val="16"/>
                <w:szCs w:val="16"/>
                <w:color w:val="auto"/>
              </w:rPr>
              <w:t>Plus: M&amp;A and acquisition-related costs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20,517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4,588</w:t>
            </w:r>
          </w:p>
        </w:tc>
        <w:tc>
          <w:tcPr>
            <w:tcW w:w="0" w:type="dxa"/>
            <w:vAlign w:val="bottom"/>
          </w:tcPr>
          <w:p>
            <w:pPr>
              <w:spacing w:after="0"/>
              <w:rPr>
                <w:sz w:val="1"/>
                <w:szCs w:val="1"/>
                <w:color w:val="auto"/>
              </w:rPr>
            </w:pPr>
          </w:p>
        </w:tc>
      </w:tr>
      <w:tr>
        <w:trPr>
          <w:trHeight w:val="216"/>
        </w:trPr>
        <w:tc>
          <w:tcPr>
            <w:tcW w:w="6720" w:type="dxa"/>
            <w:vAlign w:val="bottom"/>
          </w:tcPr>
          <w:p>
            <w:pPr>
              <w:ind w:left="340"/>
              <w:spacing w:after="0"/>
              <w:rPr>
                <w:sz w:val="20"/>
                <w:szCs w:val="20"/>
                <w:color w:val="auto"/>
              </w:rPr>
            </w:pPr>
            <w:r>
              <w:rPr>
                <w:rFonts w:ascii="Arial" w:cs="Arial" w:eastAsia="Arial" w:hAnsi="Arial"/>
                <w:sz w:val="16"/>
                <w:szCs w:val="16"/>
                <w:color w:val="auto"/>
              </w:rPr>
              <w:t>Plus: Advisory fees related to activism defense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16,611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23,087</w:t>
            </w:r>
          </w:p>
        </w:tc>
        <w:tc>
          <w:tcPr>
            <w:tcW w:w="0" w:type="dxa"/>
            <w:vAlign w:val="bottom"/>
          </w:tcPr>
          <w:p>
            <w:pPr>
              <w:spacing w:after="0"/>
              <w:rPr>
                <w:sz w:val="1"/>
                <w:szCs w:val="1"/>
                <w:color w:val="auto"/>
              </w:rPr>
            </w:pPr>
          </w:p>
        </w:tc>
      </w:tr>
      <w:tr>
        <w:trPr>
          <w:trHeight w:val="216"/>
        </w:trPr>
        <w:tc>
          <w:tcPr>
            <w:tcW w:w="6720" w:type="dxa"/>
            <w:vAlign w:val="bottom"/>
          </w:tcPr>
          <w:p>
            <w:pPr>
              <w:ind w:left="340"/>
              <w:spacing w:after="0"/>
              <w:rPr>
                <w:sz w:val="20"/>
                <w:szCs w:val="20"/>
                <w:color w:val="auto"/>
              </w:rPr>
            </w:pPr>
            <w:r>
              <w:rPr>
                <w:rFonts w:ascii="Arial" w:cs="Arial" w:eastAsia="Arial" w:hAnsi="Arial"/>
                <w:sz w:val="16"/>
                <w:szCs w:val="16"/>
                <w:color w:val="auto"/>
              </w:rPr>
              <w:t>Less: Spectrum repacking reimbursements and other, net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(2,307)</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(9,955)</w:t>
            </w:r>
          </w:p>
        </w:tc>
        <w:tc>
          <w:tcPr>
            <w:tcW w:w="0" w:type="dxa"/>
            <w:vAlign w:val="bottom"/>
          </w:tcPr>
          <w:p>
            <w:pPr>
              <w:spacing w:after="0"/>
              <w:rPr>
                <w:sz w:val="1"/>
                <w:szCs w:val="1"/>
                <w:color w:val="auto"/>
              </w:rPr>
            </w:pPr>
          </w:p>
        </w:tc>
      </w:tr>
      <w:tr>
        <w:trPr>
          <w:trHeight w:val="210"/>
        </w:trPr>
        <w:tc>
          <w:tcPr>
            <w:tcW w:w="6720" w:type="dxa"/>
            <w:vAlign w:val="bottom"/>
          </w:tcPr>
          <w:p>
            <w:pPr>
              <w:spacing w:after="0"/>
              <w:rPr>
                <w:sz w:val="20"/>
                <w:szCs w:val="20"/>
                <w:color w:val="auto"/>
              </w:rPr>
            </w:pPr>
            <w:r>
              <w:rPr>
                <w:rFonts w:ascii="Arial" w:cs="Arial" w:eastAsia="Arial" w:hAnsi="Arial"/>
                <w:sz w:val="16"/>
                <w:szCs w:val="16"/>
                <w:color w:val="auto"/>
              </w:rPr>
              <w:t>Adjusted operating income (non-GAAP basis)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1,010,826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820,258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889,723</w:t>
            </w:r>
          </w:p>
        </w:tc>
        <w:tc>
          <w:tcPr>
            <w:tcW w:w="0" w:type="dxa"/>
            <w:vAlign w:val="bottom"/>
          </w:tcPr>
          <w:p>
            <w:pPr>
              <w:spacing w:after="0"/>
              <w:rPr>
                <w:sz w:val="1"/>
                <w:szCs w:val="1"/>
                <w:color w:val="auto"/>
              </w:rPr>
            </w:pPr>
          </w:p>
        </w:tc>
      </w:tr>
      <w:tr>
        <w:trPr>
          <w:trHeight w:val="215"/>
        </w:trPr>
        <w:tc>
          <w:tcPr>
            <w:tcW w:w="6720" w:type="dxa"/>
            <w:vAlign w:val="bottom"/>
          </w:tcPr>
          <w:p>
            <w:pPr>
              <w:ind w:left="340"/>
              <w:spacing w:after="0"/>
              <w:rPr>
                <w:sz w:val="20"/>
                <w:szCs w:val="20"/>
                <w:color w:val="auto"/>
              </w:rPr>
            </w:pPr>
            <w:r>
              <w:rPr>
                <w:rFonts w:ascii="Arial" w:cs="Arial" w:eastAsia="Arial" w:hAnsi="Arial"/>
                <w:sz w:val="16"/>
                <w:szCs w:val="16"/>
                <w:color w:val="auto"/>
              </w:rPr>
              <w:t>Plus: Depreciation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61,195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64,841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66,880</w:t>
            </w:r>
          </w:p>
        </w:tc>
        <w:tc>
          <w:tcPr>
            <w:tcW w:w="0" w:type="dxa"/>
            <w:vAlign w:val="bottom"/>
          </w:tcPr>
          <w:p>
            <w:pPr>
              <w:spacing w:after="0"/>
              <w:rPr>
                <w:sz w:val="1"/>
                <w:szCs w:val="1"/>
                <w:color w:val="auto"/>
              </w:rPr>
            </w:pPr>
          </w:p>
        </w:tc>
      </w:tr>
      <w:tr>
        <w:trPr>
          <w:trHeight w:val="217"/>
        </w:trPr>
        <w:tc>
          <w:tcPr>
            <w:tcW w:w="6720" w:type="dxa"/>
            <w:vAlign w:val="bottom"/>
          </w:tcPr>
          <w:p>
            <w:pPr>
              <w:ind w:left="340"/>
              <w:spacing w:after="0"/>
              <w:rPr>
                <w:sz w:val="20"/>
                <w:szCs w:val="20"/>
                <w:color w:val="auto"/>
              </w:rPr>
            </w:pPr>
            <w:r>
              <w:rPr>
                <w:rFonts w:ascii="Arial" w:cs="Arial" w:eastAsia="Arial" w:hAnsi="Arial"/>
                <w:sz w:val="16"/>
                <w:szCs w:val="16"/>
                <w:color w:val="auto"/>
              </w:rPr>
              <w:t>Plus: Amortization of intangible assets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59,882</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63,011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67,690</w:t>
            </w:r>
          </w:p>
        </w:tc>
        <w:tc>
          <w:tcPr>
            <w:tcW w:w="0" w:type="dxa"/>
            <w:vAlign w:val="bottom"/>
          </w:tcPr>
          <w:p>
            <w:pPr>
              <w:spacing w:after="0"/>
              <w:rPr>
                <w:sz w:val="1"/>
                <w:szCs w:val="1"/>
                <w:color w:val="auto"/>
              </w:rPr>
            </w:pPr>
          </w:p>
        </w:tc>
      </w:tr>
      <w:tr>
        <w:trPr>
          <w:trHeight w:val="210"/>
        </w:trPr>
        <w:tc>
          <w:tcPr>
            <w:tcW w:w="6720" w:type="dxa"/>
            <w:vAlign w:val="bottom"/>
          </w:tcPr>
          <w:p>
            <w:pPr>
              <w:spacing w:after="0"/>
              <w:rPr>
                <w:sz w:val="20"/>
                <w:szCs w:val="20"/>
                <w:color w:val="auto"/>
              </w:rPr>
            </w:pPr>
            <w:r>
              <w:rPr>
                <w:rFonts w:ascii="Arial" w:cs="Arial" w:eastAsia="Arial" w:hAnsi="Arial"/>
                <w:sz w:val="16"/>
                <w:szCs w:val="16"/>
                <w:color w:val="auto"/>
              </w:rPr>
              <w:t>Adjusted EBITDA (non-GAAP basis)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1,131,903</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948,110</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1,024,293</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6"/>
                <w:szCs w:val="16"/>
                <w:color w:val="auto"/>
              </w:rPr>
              <w:t>Corporate - General and administrative expense (non-GAAP basis)</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72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39,591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47,778</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45,566</w:t>
            </w:r>
          </w:p>
        </w:tc>
        <w:tc>
          <w:tcPr>
            <w:tcW w:w="0" w:type="dxa"/>
            <w:vAlign w:val="bottom"/>
          </w:tcPr>
          <w:p>
            <w:pPr>
              <w:spacing w:after="0"/>
              <w:rPr>
                <w:sz w:val="1"/>
                <w:szCs w:val="1"/>
                <w:color w:val="auto"/>
              </w:rPr>
            </w:pPr>
          </w:p>
        </w:tc>
      </w:tr>
      <w:tr>
        <w:trPr>
          <w:trHeight w:val="210"/>
        </w:trPr>
        <w:tc>
          <w:tcPr>
            <w:tcW w:w="6720" w:type="dxa"/>
            <w:vAlign w:val="bottom"/>
          </w:tcPr>
          <w:p>
            <w:pPr>
              <w:spacing w:after="0"/>
              <w:rPr>
                <w:sz w:val="20"/>
                <w:szCs w:val="20"/>
                <w:color w:val="auto"/>
              </w:rPr>
            </w:pPr>
            <w:r>
              <w:rPr>
                <w:rFonts w:ascii="Arial" w:cs="Arial" w:eastAsia="Arial" w:hAnsi="Arial"/>
                <w:sz w:val="16"/>
                <w:szCs w:val="16"/>
                <w:color w:val="auto"/>
              </w:rPr>
              <w:t>Adjusted EBITDA, excluding Corporate (non-GAAP basis)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1,171,494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995,888</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1,069,859</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885" w:right="33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NON-GAAP FINANCIAL INFORMATION</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TEGNA Inc.</w:t>
      </w:r>
    </w:p>
    <w:p>
      <w:pPr>
        <w:spacing w:after="0"/>
        <w:rPr>
          <w:sz w:val="20"/>
          <w:szCs w:val="20"/>
          <w:color w:val="auto"/>
        </w:rPr>
      </w:pPr>
      <w:r>
        <w:rPr>
          <w:rFonts w:ascii="Arial" w:cs="Arial" w:eastAsia="Arial" w:hAnsi="Arial"/>
          <w:sz w:val="20"/>
          <w:szCs w:val="20"/>
          <w:color w:val="auto"/>
        </w:rPr>
        <w:t>Unaudited, in thousands of dollars</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Table No. 4</w:t>
      </w:r>
    </w:p>
    <w:p>
      <w:pPr>
        <w:spacing w:after="0" w:line="39" w:lineRule="exact"/>
        <w:rPr>
          <w:sz w:val="20"/>
          <w:szCs w:val="20"/>
          <w:color w:val="auto"/>
        </w:rPr>
      </w:pPr>
    </w:p>
    <w:p>
      <w:pPr>
        <w:ind w:left="20" w:right="1060"/>
        <w:spacing w:after="0" w:line="242" w:lineRule="auto"/>
        <w:rPr>
          <w:sz w:val="20"/>
          <w:szCs w:val="20"/>
          <w:color w:val="auto"/>
        </w:rPr>
      </w:pPr>
      <w:r>
        <w:rPr>
          <w:rFonts w:ascii="Arial" w:cs="Arial" w:eastAsia="Arial" w:hAnsi="Arial"/>
          <w:sz w:val="16"/>
          <w:szCs w:val="16"/>
          <w:color w:val="auto"/>
        </w:rPr>
        <w:t>Below is a detail of our primary sources of revenue presented in accordance with GAAP on company’s Consolidated Statements of Income. In addition, we show Adjusted EBITDA and Adjusted EBITDA margins (see non-GAAP reconciliations at Table No. 3).</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37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5"/>
          </w:tcPr>
          <w:p>
            <w:pPr>
              <w:jc w:val="center"/>
              <w:ind w:left="439"/>
              <w:spacing w:after="0"/>
              <w:rPr>
                <w:sz w:val="20"/>
                <w:szCs w:val="20"/>
                <w:color w:val="auto"/>
              </w:rPr>
            </w:pPr>
            <w:r>
              <w:rPr>
                <w:rFonts w:ascii="Arial" w:cs="Arial" w:eastAsia="Arial" w:hAnsi="Arial"/>
                <w:sz w:val="16"/>
                <w:szCs w:val="16"/>
                <w:color w:val="auto"/>
              </w:rPr>
              <w:t>Quarter ended Dec. 31,</w:t>
            </w: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02"/>
        </w:trPr>
        <w:tc>
          <w:tcPr>
            <w:tcW w:w="3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color w:val="auto"/>
              </w:rPr>
              <w:t>% Increase</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 Increase</w:t>
            </w:r>
          </w:p>
        </w:tc>
      </w:tr>
      <w:tr>
        <w:trPr>
          <w:trHeight w:val="237"/>
        </w:trPr>
        <w:tc>
          <w:tcPr>
            <w:tcW w:w="3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color w:val="auto"/>
              </w:rPr>
              <w:t>(Decrease)</w:t>
            </w: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(Decrease)</w:t>
            </w:r>
          </w:p>
        </w:tc>
      </w:tr>
      <w:tr>
        <w:trPr>
          <w:trHeight w:val="470"/>
        </w:trPr>
        <w:tc>
          <w:tcPr>
            <w:tcW w:w="3720" w:type="dxa"/>
            <w:vAlign w:val="bottom"/>
          </w:tcPr>
          <w:p>
            <w:pPr>
              <w:spacing w:after="0"/>
              <w:rPr>
                <w:sz w:val="20"/>
                <w:szCs w:val="20"/>
                <w:color w:val="auto"/>
              </w:rPr>
            </w:pPr>
            <w:r>
              <w:rPr>
                <w:rFonts w:ascii="Arial" w:cs="Arial" w:eastAsia="Arial" w:hAnsi="Arial"/>
                <w:sz w:val="16"/>
                <w:szCs w:val="16"/>
                <w:color w:val="auto"/>
              </w:rPr>
              <w:t>Subscription</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372,301</w:t>
            </w:r>
          </w:p>
        </w:tc>
        <w:tc>
          <w:tcPr>
            <w:tcW w:w="120" w:type="dxa"/>
            <w:vAlign w:val="bottom"/>
          </w:tcPr>
          <w:p>
            <w:pPr>
              <w:spacing w:after="0"/>
              <w:rPr>
                <w:sz w:val="24"/>
                <w:szCs w:val="24"/>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335,943</w:t>
            </w:r>
          </w:p>
        </w:tc>
        <w:tc>
          <w:tcPr>
            <w:tcW w:w="100" w:type="dxa"/>
            <w:vAlign w:val="bottom"/>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4"/>
                <w:szCs w:val="24"/>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313,657</w:t>
            </w:r>
          </w:p>
        </w:tc>
        <w:tc>
          <w:tcPr>
            <w:tcW w:w="100" w:type="dxa"/>
            <w:vAlign w:val="bottom"/>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w:t>
            </w: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Advertising and Marketing Services</w:t>
            </w:r>
          </w:p>
        </w:tc>
        <w:tc>
          <w:tcPr>
            <w:tcW w:w="32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352,927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400,125</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351,933</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Political</w:t>
            </w:r>
          </w:p>
        </w:tc>
        <w:tc>
          <w:tcPr>
            <w:tcW w:w="32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179,383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26,554</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264,110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(32.1)</w:t>
            </w:r>
          </w:p>
        </w:tc>
      </w:tr>
      <w:tr>
        <w:trPr>
          <w:trHeight w:val="217"/>
        </w:trPr>
        <w:tc>
          <w:tcPr>
            <w:tcW w:w="3720" w:type="dxa"/>
            <w:vAlign w:val="bottom"/>
          </w:tcPr>
          <w:p>
            <w:pPr>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12,519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12,025</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7,875</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w:t>
            </w:r>
          </w:p>
        </w:tc>
      </w:tr>
      <w:tr>
        <w:trPr>
          <w:trHeight w:val="211"/>
        </w:trPr>
        <w:tc>
          <w:tcPr>
            <w:tcW w:w="3720" w:type="dxa"/>
            <w:vAlign w:val="bottom"/>
          </w:tcPr>
          <w:p>
            <w:pPr>
              <w:spacing w:after="0"/>
              <w:rPr>
                <w:sz w:val="20"/>
                <w:szCs w:val="20"/>
                <w:color w:val="auto"/>
              </w:rPr>
            </w:pPr>
            <w:r>
              <w:rPr>
                <w:rFonts w:ascii="Arial" w:cs="Arial" w:eastAsia="Arial" w:hAnsi="Arial"/>
                <w:sz w:val="16"/>
                <w:szCs w:val="16"/>
                <w:color w:val="auto"/>
              </w:rPr>
              <w:t>Total revenues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917,130</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774,647</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937,575</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1"/>
        </w:trPr>
        <w:tc>
          <w:tcPr>
            <w:tcW w:w="3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37"/>
        </w:trPr>
        <w:tc>
          <w:tcPr>
            <w:tcW w:w="3720" w:type="dxa"/>
            <w:vAlign w:val="bottom"/>
          </w:tcPr>
          <w:p>
            <w:pPr>
              <w:spacing w:after="0"/>
              <w:rPr>
                <w:sz w:val="20"/>
                <w:szCs w:val="20"/>
                <w:color w:val="auto"/>
              </w:rPr>
            </w:pPr>
            <w:r>
              <w:rPr>
                <w:rFonts w:ascii="Arial" w:cs="Arial" w:eastAsia="Arial" w:hAnsi="Arial"/>
                <w:sz w:val="16"/>
                <w:szCs w:val="16"/>
                <w:color w:val="auto"/>
              </w:rPr>
              <w:t>Adjusted EBITDA</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360,652</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245,258</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428,520</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Adjusted EBITDA Margin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39.3 %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31.7 %</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45.7 %</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765"/>
        </w:trPr>
        <w:tc>
          <w:tcPr>
            <w:tcW w:w="3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center"/>
              <w:ind w:left="779"/>
              <w:spacing w:after="0"/>
              <w:rPr>
                <w:sz w:val="20"/>
                <w:szCs w:val="20"/>
                <w:color w:val="auto"/>
              </w:rPr>
            </w:pPr>
            <w:r>
              <w:rPr>
                <w:rFonts w:ascii="Arial" w:cs="Arial" w:eastAsia="Arial" w:hAnsi="Arial"/>
                <w:sz w:val="16"/>
                <w:szCs w:val="16"/>
                <w:color w:val="auto"/>
                <w:w w:val="99"/>
              </w:rPr>
              <w:t>Year ended Dec. 31,</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02"/>
        </w:trPr>
        <w:tc>
          <w:tcPr>
            <w:tcW w:w="3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color w:val="auto"/>
              </w:rPr>
              <w:t>% Increase</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 Increase</w:t>
            </w:r>
          </w:p>
        </w:tc>
      </w:tr>
      <w:tr>
        <w:trPr>
          <w:trHeight w:val="243"/>
        </w:trPr>
        <w:tc>
          <w:tcPr>
            <w:tcW w:w="3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1"/>
                <w:szCs w:val="21"/>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color w:val="auto"/>
              </w:rPr>
              <w:t>(Decrease)</w:t>
            </w:r>
          </w:p>
        </w:tc>
        <w:tc>
          <w:tcPr>
            <w:tcW w:w="340" w:type="dxa"/>
            <w:vAlign w:val="bottom"/>
          </w:tcPr>
          <w:p>
            <w:pPr>
              <w:spacing w:after="0"/>
              <w:rPr>
                <w:sz w:val="21"/>
                <w:szCs w:val="21"/>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1"/>
                <w:szCs w:val="21"/>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(Decrease)</w:t>
            </w:r>
          </w:p>
        </w:tc>
      </w:tr>
      <w:tr>
        <w:trPr>
          <w:trHeight w:val="451"/>
        </w:trPr>
        <w:tc>
          <w:tcPr>
            <w:tcW w:w="3720" w:type="dxa"/>
            <w:vAlign w:val="bottom"/>
          </w:tcPr>
          <w:p>
            <w:pPr>
              <w:spacing w:after="0"/>
              <w:rPr>
                <w:sz w:val="20"/>
                <w:szCs w:val="20"/>
                <w:color w:val="auto"/>
              </w:rPr>
            </w:pPr>
            <w:r>
              <w:rPr>
                <w:rFonts w:ascii="Arial" w:cs="Arial" w:eastAsia="Arial" w:hAnsi="Arial"/>
                <w:sz w:val="16"/>
                <w:szCs w:val="16"/>
                <w:color w:val="auto"/>
              </w:rPr>
              <w:t>Subscription</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1,530,402</w:t>
            </w:r>
          </w:p>
        </w:tc>
        <w:tc>
          <w:tcPr>
            <w:tcW w:w="120" w:type="dxa"/>
            <w:vAlign w:val="bottom"/>
          </w:tcPr>
          <w:p>
            <w:pPr>
              <w:spacing w:after="0"/>
              <w:rPr>
                <w:sz w:val="24"/>
                <w:szCs w:val="24"/>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1,466,433</w:t>
            </w:r>
          </w:p>
        </w:tc>
        <w:tc>
          <w:tcPr>
            <w:tcW w:w="100" w:type="dxa"/>
            <w:vAlign w:val="bottom"/>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4"/>
                <w:szCs w:val="24"/>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1,286,611</w:t>
            </w:r>
          </w:p>
        </w:tc>
        <w:tc>
          <w:tcPr>
            <w:tcW w:w="100" w:type="dxa"/>
            <w:vAlign w:val="bottom"/>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w:t>
            </w: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Advertising and Marketing Services</w:t>
            </w:r>
          </w:p>
        </w:tc>
        <w:tc>
          <w:tcPr>
            <w:tcW w:w="32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1,363,417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1,428,082</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1,174,774</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Political</w:t>
            </w:r>
          </w:p>
        </w:tc>
        <w:tc>
          <w:tcPr>
            <w:tcW w:w="32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341,110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60,573</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445,535</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(23.4)</w:t>
            </w:r>
          </w:p>
        </w:tc>
      </w:tr>
      <w:tr>
        <w:trPr>
          <w:trHeight w:val="217"/>
        </w:trPr>
        <w:tc>
          <w:tcPr>
            <w:tcW w:w="3720" w:type="dxa"/>
            <w:vAlign w:val="bottom"/>
          </w:tcPr>
          <w:p>
            <w:pPr>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44,316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36,005</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30,860</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r>
      <w:tr>
        <w:trPr>
          <w:trHeight w:val="210"/>
        </w:trPr>
        <w:tc>
          <w:tcPr>
            <w:tcW w:w="3720" w:type="dxa"/>
            <w:vAlign w:val="bottom"/>
          </w:tcPr>
          <w:p>
            <w:pPr>
              <w:spacing w:after="0"/>
              <w:rPr>
                <w:sz w:val="20"/>
                <w:szCs w:val="20"/>
                <w:color w:val="auto"/>
              </w:rPr>
            </w:pPr>
            <w:r>
              <w:rPr>
                <w:rFonts w:ascii="Arial" w:cs="Arial" w:eastAsia="Arial" w:hAnsi="Arial"/>
                <w:sz w:val="16"/>
                <w:szCs w:val="16"/>
                <w:color w:val="auto"/>
              </w:rPr>
              <w:t>Total revenues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3,279,245</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2,991,093</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2,937,780</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r>
      <w:tr>
        <w:trPr>
          <w:trHeight w:val="20"/>
        </w:trPr>
        <w:tc>
          <w:tcPr>
            <w:tcW w:w="3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37"/>
        </w:trPr>
        <w:tc>
          <w:tcPr>
            <w:tcW w:w="3720" w:type="dxa"/>
            <w:vAlign w:val="bottom"/>
          </w:tcPr>
          <w:p>
            <w:pPr>
              <w:spacing w:after="0"/>
              <w:rPr>
                <w:sz w:val="20"/>
                <w:szCs w:val="20"/>
                <w:color w:val="auto"/>
              </w:rPr>
            </w:pPr>
            <w:r>
              <w:rPr>
                <w:rFonts w:ascii="Arial" w:cs="Arial" w:eastAsia="Arial" w:hAnsi="Arial"/>
                <w:sz w:val="16"/>
                <w:szCs w:val="16"/>
                <w:color w:val="auto"/>
              </w:rPr>
              <w:t>Adjusted EBITDA</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1,131,903</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948,110</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1,024,293</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Adjusted EBITDA Margin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34.5 %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31.7 %</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34.9 %</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bl>
    <w:p>
      <w:pPr>
        <w:spacing w:after="0" w:line="2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 Not meaningful</w:t>
      </w:r>
    </w:p>
    <w:p>
      <w:pPr>
        <w:sectPr>
          <w:pgSz w:w="11900" w:h="16838" w:orient="portrait"/>
          <w:cols w:equalWidth="0" w:num="1">
            <w:col w:w="11240"/>
          </w:cols>
          <w:pgMar w:left="320" w:top="8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020"/>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40"/>
          </w:cols>
          <w:pgMar w:left="320" w:top="88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NON-GAAP FINANCIAL INFORMATION</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TEGNA Inc.</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Unaudited, in thousands of dollars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No. 5</w:t>
      </w:r>
    </w:p>
    <w:p>
      <w:pPr>
        <w:spacing w:after="0" w:line="312" w:lineRule="exact"/>
        <w:rPr>
          <w:sz w:val="20"/>
          <w:szCs w:val="20"/>
          <w:color w:val="auto"/>
        </w:rPr>
      </w:pPr>
    </w:p>
    <w:p>
      <w:pPr>
        <w:ind w:right="40"/>
        <w:spacing w:after="0" w:line="271" w:lineRule="auto"/>
        <w:rPr>
          <w:sz w:val="20"/>
          <w:szCs w:val="20"/>
          <w:color w:val="auto"/>
        </w:rPr>
      </w:pPr>
      <w:r>
        <w:rPr>
          <w:rFonts w:ascii="Arial" w:cs="Arial" w:eastAsia="Arial" w:hAnsi="Arial"/>
          <w:sz w:val="20"/>
          <w:szCs w:val="20"/>
          <w:color w:val="auto"/>
        </w:rPr>
        <w:t>Reconciliations of free cash flow to net income presented in accordance with GAAP on the company's Consolidated Statements of Income are presented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80" w:type="dxa"/>
            <w:vAlign w:val="bottom"/>
            <w:gridSpan w:val="6"/>
          </w:tcPr>
          <w:p>
            <w:pPr>
              <w:ind w:left="980"/>
              <w:spacing w:after="0"/>
              <w:rPr>
                <w:sz w:val="20"/>
                <w:szCs w:val="20"/>
                <w:color w:val="auto"/>
              </w:rPr>
            </w:pPr>
            <w:r>
              <w:rPr>
                <w:rFonts w:ascii="Arial" w:cs="Arial" w:eastAsia="Arial" w:hAnsi="Arial"/>
                <w:sz w:val="20"/>
                <w:szCs w:val="20"/>
                <w:color w:val="auto"/>
                <w:w w:val="99"/>
              </w:rPr>
              <w:t>Quarter ended Dec. 31,</w:t>
            </w:r>
          </w:p>
        </w:tc>
        <w:tc>
          <w:tcPr>
            <w:tcW w:w="1260" w:type="dxa"/>
            <w:vAlign w:val="bottom"/>
          </w:tcPr>
          <w:p>
            <w:pPr>
              <w:spacing w:after="0"/>
              <w:rPr>
                <w:sz w:val="22"/>
                <w:szCs w:val="22"/>
                <w:color w:val="auto"/>
              </w:rPr>
            </w:pPr>
          </w:p>
        </w:tc>
      </w:tr>
      <w:tr>
        <w:trPr>
          <w:trHeight w:val="30"/>
        </w:trPr>
        <w:tc>
          <w:tcPr>
            <w:tcW w:w="6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8"/>
        </w:trPr>
        <w:tc>
          <w:tcPr>
            <w:tcW w:w="6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21"/>
              <w:spacing w:after="0" w:line="229" w:lineRule="exact"/>
              <w:rPr>
                <w:sz w:val="20"/>
                <w:szCs w:val="20"/>
                <w:color w:val="auto"/>
              </w:rPr>
            </w:pPr>
            <w:r>
              <w:rPr>
                <w:rFonts w:ascii="Arial" w:cs="Arial" w:eastAsia="Arial" w:hAnsi="Arial"/>
                <w:sz w:val="20"/>
                <w:szCs w:val="20"/>
                <w:color w:val="auto"/>
              </w:rPr>
              <w:t>% Increase</w:t>
            </w:r>
          </w:p>
        </w:tc>
      </w:tr>
      <w:tr>
        <w:trPr>
          <w:trHeight w:val="261"/>
        </w:trPr>
        <w:tc>
          <w:tcPr>
            <w:tcW w:w="6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ind w:right="441"/>
              <w:spacing w:after="0"/>
              <w:rPr>
                <w:sz w:val="20"/>
                <w:szCs w:val="20"/>
                <w:color w:val="auto"/>
              </w:rPr>
            </w:pPr>
            <w:r>
              <w:rPr>
                <w:rFonts w:ascii="Arial" w:cs="Arial" w:eastAsia="Arial" w:hAnsi="Arial"/>
                <w:sz w:val="20"/>
                <w:szCs w:val="20"/>
                <w:color w:val="auto"/>
              </w:rPr>
              <w:t>2022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401"/>
              <w:spacing w:after="0"/>
              <w:rPr>
                <w:sz w:val="20"/>
                <w:szCs w:val="20"/>
                <w:color w:val="auto"/>
              </w:rPr>
            </w:pPr>
            <w:r>
              <w:rPr>
                <w:rFonts w:ascii="Arial" w:cs="Arial" w:eastAsia="Arial" w:hAnsi="Arial"/>
                <w:sz w:val="20"/>
                <w:szCs w:val="20"/>
                <w:color w:val="auto"/>
              </w:rPr>
              <w:t>2021</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121"/>
              <w:spacing w:after="0"/>
              <w:rPr>
                <w:sz w:val="20"/>
                <w:szCs w:val="20"/>
                <w:color w:val="auto"/>
              </w:rPr>
            </w:pPr>
            <w:r>
              <w:rPr>
                <w:rFonts w:ascii="Arial" w:cs="Arial" w:eastAsia="Arial" w:hAnsi="Arial"/>
                <w:sz w:val="20"/>
                <w:szCs w:val="20"/>
                <w:color w:val="auto"/>
              </w:rPr>
              <w:t>(Decrease)</w:t>
            </w:r>
          </w:p>
        </w:tc>
      </w:tr>
      <w:tr>
        <w:trPr>
          <w:trHeight w:val="30"/>
        </w:trPr>
        <w:tc>
          <w:tcPr>
            <w:tcW w:w="6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98"/>
        </w:trPr>
        <w:tc>
          <w:tcPr>
            <w:tcW w:w="6540" w:type="dxa"/>
            <w:vAlign w:val="bottom"/>
          </w:tcPr>
          <w:p>
            <w:pPr>
              <w:spacing w:after="0"/>
              <w:rPr>
                <w:sz w:val="20"/>
                <w:szCs w:val="20"/>
                <w:color w:val="auto"/>
              </w:rPr>
            </w:pPr>
            <w:r>
              <w:rPr>
                <w:rFonts w:ascii="Arial" w:cs="Arial" w:eastAsia="Arial" w:hAnsi="Arial"/>
                <w:sz w:val="20"/>
                <w:szCs w:val="20"/>
                <w:color w:val="auto"/>
              </w:rPr>
              <w:t>Net income attributable to TEGNA Inc. (GAAP basis)</w:t>
            </w:r>
          </w:p>
        </w:tc>
        <w:tc>
          <w:tcPr>
            <w:tcW w:w="3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218,601</w:t>
            </w:r>
          </w:p>
        </w:tc>
        <w:tc>
          <w:tcPr>
            <w:tcW w:w="100" w:type="dxa"/>
            <w:vAlign w:val="bottom"/>
          </w:tcPr>
          <w:p>
            <w:pPr>
              <w:spacing w:after="0"/>
              <w:rPr>
                <w:sz w:val="24"/>
                <w:szCs w:val="24"/>
                <w:color w:val="auto"/>
              </w:rPr>
            </w:pPr>
          </w:p>
        </w:tc>
        <w:tc>
          <w:tcPr>
            <w:tcW w:w="3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129,431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68.9</w:t>
            </w:r>
          </w:p>
        </w:tc>
      </w:tr>
      <w:tr>
        <w:trPr>
          <w:trHeight w:val="257"/>
        </w:trPr>
        <w:tc>
          <w:tcPr>
            <w:tcW w:w="6540" w:type="dxa"/>
            <w:vAlign w:val="bottom"/>
          </w:tcPr>
          <w:p>
            <w:pPr>
              <w:ind w:left="200"/>
              <w:spacing w:after="0"/>
              <w:rPr>
                <w:sz w:val="20"/>
                <w:szCs w:val="20"/>
                <w:color w:val="auto"/>
              </w:rPr>
            </w:pPr>
            <w:r>
              <w:rPr>
                <w:rFonts w:ascii="Arial" w:cs="Arial" w:eastAsia="Arial" w:hAnsi="Arial"/>
                <w:sz w:val="20"/>
                <w:szCs w:val="20"/>
                <w:color w:val="auto"/>
              </w:rPr>
              <w:t>Plus: Provision for income taxes</w:t>
            </w: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69,775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32,011</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57"/>
        </w:trPr>
        <w:tc>
          <w:tcPr>
            <w:tcW w:w="6540" w:type="dxa"/>
            <w:vAlign w:val="bottom"/>
          </w:tcPr>
          <w:p>
            <w:pPr>
              <w:ind w:left="200"/>
              <w:spacing w:after="0"/>
              <w:rPr>
                <w:sz w:val="20"/>
                <w:szCs w:val="20"/>
                <w:color w:val="auto"/>
              </w:rPr>
            </w:pPr>
            <w:r>
              <w:rPr>
                <w:rFonts w:ascii="Arial" w:cs="Arial" w:eastAsia="Arial" w:hAnsi="Arial"/>
                <w:sz w:val="20"/>
                <w:szCs w:val="20"/>
                <w:color w:val="auto"/>
              </w:rPr>
              <w:t>Plus: Interest expense</w:t>
            </w: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44,046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46,079</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56"/>
        </w:trPr>
        <w:tc>
          <w:tcPr>
            <w:tcW w:w="6540" w:type="dxa"/>
            <w:vAlign w:val="bottom"/>
          </w:tcPr>
          <w:p>
            <w:pPr>
              <w:ind w:left="200"/>
              <w:spacing w:after="0"/>
              <w:rPr>
                <w:sz w:val="20"/>
                <w:szCs w:val="20"/>
                <w:color w:val="auto"/>
              </w:rPr>
            </w:pPr>
            <w:r>
              <w:rPr>
                <w:rFonts w:ascii="Arial" w:cs="Arial" w:eastAsia="Arial" w:hAnsi="Arial"/>
                <w:sz w:val="20"/>
                <w:szCs w:val="20"/>
                <w:color w:val="auto"/>
              </w:rPr>
              <w:t>Plus: M&amp;A-related costs</w:t>
            </w: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2,370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3,738</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(36.6)</w:t>
            </w:r>
          </w:p>
        </w:tc>
      </w:tr>
      <w:tr>
        <w:trPr>
          <w:trHeight w:val="257"/>
        </w:trPr>
        <w:tc>
          <w:tcPr>
            <w:tcW w:w="6540" w:type="dxa"/>
            <w:vAlign w:val="bottom"/>
          </w:tcPr>
          <w:p>
            <w:pPr>
              <w:ind w:left="200"/>
              <w:spacing w:after="0"/>
              <w:rPr>
                <w:sz w:val="20"/>
                <w:szCs w:val="20"/>
                <w:color w:val="auto"/>
              </w:rPr>
            </w:pPr>
            <w:r>
              <w:rPr>
                <w:rFonts w:ascii="Arial" w:cs="Arial" w:eastAsia="Arial" w:hAnsi="Arial"/>
                <w:sz w:val="20"/>
                <w:szCs w:val="20"/>
                <w:color w:val="auto"/>
              </w:rPr>
              <w:t>Plus: Depreciation</w:t>
            </w: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15,137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16,315</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57"/>
        </w:trPr>
        <w:tc>
          <w:tcPr>
            <w:tcW w:w="6540" w:type="dxa"/>
            <w:vAlign w:val="bottom"/>
          </w:tcPr>
          <w:p>
            <w:pPr>
              <w:ind w:left="200"/>
              <w:spacing w:after="0"/>
              <w:rPr>
                <w:sz w:val="20"/>
                <w:szCs w:val="20"/>
                <w:color w:val="auto"/>
              </w:rPr>
            </w:pPr>
            <w:r>
              <w:rPr>
                <w:rFonts w:ascii="Arial" w:cs="Arial" w:eastAsia="Arial" w:hAnsi="Arial"/>
                <w:sz w:val="20"/>
                <w:szCs w:val="20"/>
                <w:color w:val="auto"/>
              </w:rPr>
              <w:t>Plus: Amortization</w:t>
            </w: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14,930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15,704</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57"/>
        </w:trPr>
        <w:tc>
          <w:tcPr>
            <w:tcW w:w="6540" w:type="dxa"/>
            <w:vAlign w:val="bottom"/>
          </w:tcPr>
          <w:p>
            <w:pPr>
              <w:ind w:left="200"/>
              <w:spacing w:after="0"/>
              <w:rPr>
                <w:sz w:val="20"/>
                <w:szCs w:val="20"/>
                <w:color w:val="auto"/>
              </w:rPr>
            </w:pPr>
            <w:r>
              <w:rPr>
                <w:rFonts w:ascii="Arial" w:cs="Arial" w:eastAsia="Arial" w:hAnsi="Arial"/>
                <w:sz w:val="20"/>
                <w:szCs w:val="20"/>
                <w:color w:val="auto"/>
              </w:rPr>
              <w:t>Plus: Stock-based compensation</w:t>
            </w: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6,856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8,378</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(18.2)</w:t>
            </w:r>
          </w:p>
        </w:tc>
      </w:tr>
      <w:tr>
        <w:trPr>
          <w:trHeight w:val="257"/>
        </w:trPr>
        <w:tc>
          <w:tcPr>
            <w:tcW w:w="6540" w:type="dxa"/>
            <w:vAlign w:val="bottom"/>
          </w:tcPr>
          <w:p>
            <w:pPr>
              <w:ind w:left="200"/>
              <w:spacing w:after="0"/>
              <w:rPr>
                <w:sz w:val="20"/>
                <w:szCs w:val="20"/>
                <w:color w:val="auto"/>
              </w:rPr>
            </w:pPr>
            <w:r>
              <w:rPr>
                <w:rFonts w:ascii="Arial" w:cs="Arial" w:eastAsia="Arial" w:hAnsi="Arial"/>
                <w:sz w:val="20"/>
                <w:szCs w:val="20"/>
                <w:color w:val="auto"/>
              </w:rPr>
              <w:t>Plus: Company stock 401(k) contribution</w:t>
            </w: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4,317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3,567</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21.0</w:t>
            </w:r>
          </w:p>
        </w:tc>
      </w:tr>
      <w:tr>
        <w:trPr>
          <w:trHeight w:val="257"/>
        </w:trPr>
        <w:tc>
          <w:tcPr>
            <w:tcW w:w="6540" w:type="dxa"/>
            <w:vAlign w:val="bottom"/>
          </w:tcPr>
          <w:p>
            <w:pPr>
              <w:ind w:left="200"/>
              <w:spacing w:after="0"/>
              <w:rPr>
                <w:sz w:val="20"/>
                <w:szCs w:val="20"/>
                <w:color w:val="auto"/>
              </w:rPr>
            </w:pPr>
            <w:r>
              <w:rPr>
                <w:rFonts w:ascii="Arial" w:cs="Arial" w:eastAsia="Arial" w:hAnsi="Arial"/>
                <w:sz w:val="20"/>
                <w:szCs w:val="20"/>
                <w:color w:val="auto"/>
              </w:rPr>
              <w:t>Plus: Syndicated programming amortization</w:t>
            </w: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13,981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18,016</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(22.4)</w:t>
            </w:r>
          </w:p>
        </w:tc>
      </w:tr>
      <w:tr>
        <w:trPr>
          <w:trHeight w:val="256"/>
        </w:trPr>
        <w:tc>
          <w:tcPr>
            <w:tcW w:w="6540" w:type="dxa"/>
            <w:vAlign w:val="bottom"/>
          </w:tcPr>
          <w:p>
            <w:pPr>
              <w:ind w:left="200"/>
              <w:spacing w:after="0"/>
              <w:rPr>
                <w:sz w:val="20"/>
                <w:szCs w:val="20"/>
                <w:color w:val="auto"/>
              </w:rPr>
            </w:pPr>
            <w:r>
              <w:rPr>
                <w:rFonts w:ascii="Arial" w:cs="Arial" w:eastAsia="Arial" w:hAnsi="Arial"/>
                <w:sz w:val="20"/>
                <w:szCs w:val="20"/>
                <w:color w:val="auto"/>
              </w:rPr>
              <w:t>Plus: Cash dividend from equity investments for return on capital</w:t>
            </w: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3,144</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(93.6)</w:t>
            </w:r>
          </w:p>
        </w:tc>
      </w:tr>
      <w:tr>
        <w:trPr>
          <w:trHeight w:val="257"/>
        </w:trPr>
        <w:tc>
          <w:tcPr>
            <w:tcW w:w="6540" w:type="dxa"/>
            <w:vAlign w:val="bottom"/>
          </w:tcPr>
          <w:p>
            <w:pPr>
              <w:ind w:left="200"/>
              <w:spacing w:after="0"/>
              <w:rPr>
                <w:sz w:val="20"/>
                <w:szCs w:val="20"/>
                <w:color w:val="auto"/>
              </w:rPr>
            </w:pPr>
            <w:r>
              <w:rPr>
                <w:rFonts w:ascii="Arial" w:cs="Arial" w:eastAsia="Arial" w:hAnsi="Arial"/>
                <w:sz w:val="20"/>
                <w:szCs w:val="20"/>
                <w:color w:val="auto"/>
              </w:rPr>
              <w:t>Plus: Net income attributable to redeemable noncontrolling interest</w:t>
            </w: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213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381</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(44.1)</w:t>
            </w:r>
          </w:p>
        </w:tc>
      </w:tr>
      <w:tr>
        <w:trPr>
          <w:trHeight w:val="256"/>
        </w:trPr>
        <w:tc>
          <w:tcPr>
            <w:tcW w:w="6540" w:type="dxa"/>
            <w:vAlign w:val="bottom"/>
          </w:tcPr>
          <w:p>
            <w:pPr>
              <w:ind w:left="200"/>
              <w:spacing w:after="0"/>
              <w:rPr>
                <w:sz w:val="20"/>
                <w:szCs w:val="20"/>
                <w:color w:val="auto"/>
              </w:rPr>
            </w:pPr>
            <w:r>
              <w:rPr>
                <w:rFonts w:ascii="Arial" w:cs="Arial" w:eastAsia="Arial" w:hAnsi="Arial"/>
                <w:sz w:val="20"/>
                <w:szCs w:val="20"/>
                <w:color w:val="auto"/>
              </w:rPr>
              <w:t>Plus: Equity loss in unconsolidated investments, net</w:t>
            </w: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248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3,997</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(93.8)</w:t>
            </w:r>
          </w:p>
        </w:tc>
      </w:tr>
      <w:tr>
        <w:trPr>
          <w:trHeight w:val="257"/>
        </w:trPr>
        <w:tc>
          <w:tcPr>
            <w:tcW w:w="6540" w:type="dxa"/>
            <w:vAlign w:val="bottom"/>
          </w:tcPr>
          <w:p>
            <w:pPr>
              <w:ind w:left="200"/>
              <w:spacing w:after="0"/>
              <w:rPr>
                <w:sz w:val="20"/>
                <w:szCs w:val="20"/>
                <w:color w:val="auto"/>
              </w:rPr>
            </w:pPr>
            <w:r>
              <w:rPr>
                <w:rFonts w:ascii="Arial" w:cs="Arial" w:eastAsia="Arial" w:hAnsi="Arial"/>
                <w:sz w:val="20"/>
                <w:szCs w:val="20"/>
                <w:color w:val="auto"/>
              </w:rPr>
              <w:t>Plus: Reimbursement from company-owned life insurance policies</w:t>
            </w: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473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475</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(0.4)</w:t>
            </w:r>
          </w:p>
        </w:tc>
      </w:tr>
      <w:tr>
        <w:trPr>
          <w:trHeight w:val="256"/>
        </w:trPr>
        <w:tc>
          <w:tcPr>
            <w:tcW w:w="6540" w:type="dxa"/>
            <w:vAlign w:val="bottom"/>
          </w:tcPr>
          <w:p>
            <w:pPr>
              <w:ind w:left="200"/>
              <w:spacing w:after="0"/>
              <w:rPr>
                <w:sz w:val="20"/>
                <w:szCs w:val="20"/>
                <w:color w:val="auto"/>
              </w:rPr>
            </w:pPr>
            <w:r>
              <w:rPr>
                <w:rFonts w:ascii="Arial" w:cs="Arial" w:eastAsia="Arial" w:hAnsi="Arial"/>
                <w:sz w:val="20"/>
                <w:szCs w:val="20"/>
                <w:color w:val="auto"/>
              </w:rPr>
              <w:t>Plus (Less): Cash reimbursements from spectrum repacking</w:t>
            </w: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(87)</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57"/>
        </w:trPr>
        <w:tc>
          <w:tcPr>
            <w:tcW w:w="6540" w:type="dxa"/>
            <w:vAlign w:val="bottom"/>
          </w:tcPr>
          <w:p>
            <w:pPr>
              <w:ind w:left="200"/>
              <w:spacing w:after="0"/>
              <w:rPr>
                <w:sz w:val="20"/>
                <w:szCs w:val="20"/>
                <w:color w:val="auto"/>
              </w:rPr>
            </w:pPr>
            <w:r>
              <w:rPr>
                <w:rFonts w:ascii="Arial" w:cs="Arial" w:eastAsia="Arial" w:hAnsi="Arial"/>
                <w:sz w:val="20"/>
                <w:szCs w:val="20"/>
                <w:color w:val="auto"/>
              </w:rPr>
              <w:t>(Less) Plus: Spectrum repacking reimbursements and other, net</w:t>
            </w: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87</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56"/>
        </w:trPr>
        <w:tc>
          <w:tcPr>
            <w:tcW w:w="6540" w:type="dxa"/>
            <w:vAlign w:val="bottom"/>
          </w:tcPr>
          <w:p>
            <w:pPr>
              <w:ind w:left="200"/>
              <w:spacing w:after="0"/>
              <w:rPr>
                <w:sz w:val="20"/>
                <w:szCs w:val="20"/>
                <w:color w:val="auto"/>
              </w:rPr>
            </w:pPr>
            <w:r>
              <w:rPr>
                <w:rFonts w:ascii="Arial" w:cs="Arial" w:eastAsia="Arial" w:hAnsi="Arial"/>
                <w:sz w:val="20"/>
                <w:szCs w:val="20"/>
                <w:color w:val="auto"/>
              </w:rPr>
              <w:t>Less: Other non-operating items, net</w:t>
            </w: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(4,667)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(2,485)</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87.8</w:t>
            </w:r>
          </w:p>
        </w:tc>
      </w:tr>
      <w:tr>
        <w:trPr>
          <w:trHeight w:val="257"/>
        </w:trPr>
        <w:tc>
          <w:tcPr>
            <w:tcW w:w="6540" w:type="dxa"/>
            <w:vAlign w:val="bottom"/>
          </w:tcPr>
          <w:p>
            <w:pPr>
              <w:ind w:left="200"/>
              <w:spacing w:after="0"/>
              <w:rPr>
                <w:sz w:val="20"/>
                <w:szCs w:val="20"/>
                <w:color w:val="auto"/>
              </w:rPr>
            </w:pPr>
            <w:r>
              <w:rPr>
                <w:rFonts w:ascii="Arial" w:cs="Arial" w:eastAsia="Arial" w:hAnsi="Arial"/>
                <w:sz w:val="20"/>
                <w:szCs w:val="20"/>
                <w:color w:val="auto"/>
              </w:rPr>
              <w:t>Less: Income tax payments</w:t>
            </w: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(46,889)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(32,564)</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44.0</w:t>
            </w:r>
          </w:p>
        </w:tc>
      </w:tr>
      <w:tr>
        <w:trPr>
          <w:trHeight w:val="257"/>
        </w:trPr>
        <w:tc>
          <w:tcPr>
            <w:tcW w:w="6540" w:type="dxa"/>
            <w:vAlign w:val="bottom"/>
          </w:tcPr>
          <w:p>
            <w:pPr>
              <w:ind w:left="200"/>
              <w:spacing w:after="0"/>
              <w:rPr>
                <w:sz w:val="20"/>
                <w:szCs w:val="20"/>
                <w:color w:val="auto"/>
              </w:rPr>
            </w:pPr>
            <w:r>
              <w:rPr>
                <w:rFonts w:ascii="Arial" w:cs="Arial" w:eastAsia="Arial" w:hAnsi="Arial"/>
                <w:sz w:val="20"/>
                <w:szCs w:val="20"/>
                <w:color w:val="auto"/>
              </w:rPr>
              <w:t>Less: Syndicated programming payments</w:t>
            </w: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(14,670)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(18,292)</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(19.8)</w:t>
            </w:r>
          </w:p>
        </w:tc>
      </w:tr>
      <w:tr>
        <w:trPr>
          <w:trHeight w:val="256"/>
        </w:trPr>
        <w:tc>
          <w:tcPr>
            <w:tcW w:w="6540" w:type="dxa"/>
            <w:vAlign w:val="bottom"/>
          </w:tcPr>
          <w:p>
            <w:pPr>
              <w:ind w:left="200"/>
              <w:spacing w:after="0"/>
              <w:rPr>
                <w:sz w:val="20"/>
                <w:szCs w:val="20"/>
                <w:color w:val="auto"/>
              </w:rPr>
            </w:pPr>
            <w:r>
              <w:rPr>
                <w:rFonts w:ascii="Arial" w:cs="Arial" w:eastAsia="Arial" w:hAnsi="Arial"/>
                <w:sz w:val="20"/>
                <w:szCs w:val="20"/>
                <w:color w:val="auto"/>
              </w:rPr>
              <w:t>Less: Pension contributions</w:t>
            </w: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(2,816)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(934)</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57"/>
        </w:trPr>
        <w:tc>
          <w:tcPr>
            <w:tcW w:w="6540" w:type="dxa"/>
            <w:vAlign w:val="bottom"/>
          </w:tcPr>
          <w:p>
            <w:pPr>
              <w:ind w:left="200"/>
              <w:spacing w:after="0"/>
              <w:rPr>
                <w:sz w:val="20"/>
                <w:szCs w:val="20"/>
                <w:color w:val="auto"/>
              </w:rPr>
            </w:pPr>
            <w:r>
              <w:rPr>
                <w:rFonts w:ascii="Arial" w:cs="Arial" w:eastAsia="Arial" w:hAnsi="Arial"/>
                <w:sz w:val="20"/>
                <w:szCs w:val="20"/>
                <w:color w:val="auto"/>
              </w:rPr>
              <w:t>Less: Interest payments</w:t>
            </w: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(9,240)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(13,979)</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(33.9)</w:t>
            </w:r>
          </w:p>
        </w:tc>
      </w:tr>
      <w:tr>
        <w:trPr>
          <w:trHeight w:val="263"/>
        </w:trPr>
        <w:tc>
          <w:tcPr>
            <w:tcW w:w="6540" w:type="dxa"/>
            <w:vAlign w:val="bottom"/>
          </w:tcPr>
          <w:p>
            <w:pPr>
              <w:ind w:left="200"/>
              <w:spacing w:after="0"/>
              <w:rPr>
                <w:sz w:val="20"/>
                <w:szCs w:val="20"/>
                <w:color w:val="auto"/>
              </w:rPr>
            </w:pPr>
            <w:r>
              <w:rPr>
                <w:rFonts w:ascii="Arial" w:cs="Arial" w:eastAsia="Arial" w:hAnsi="Arial"/>
                <w:sz w:val="20"/>
                <w:szCs w:val="20"/>
                <w:color w:val="auto"/>
              </w:rPr>
              <w:t>Less: Purchases of property and equipment</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(15,806)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(23,658)</w:t>
            </w:r>
          </w:p>
        </w:tc>
        <w:tc>
          <w:tcPr>
            <w:tcW w:w="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(33.2)</w:t>
            </w:r>
          </w:p>
        </w:tc>
      </w:tr>
      <w:tr>
        <w:trPr>
          <w:trHeight w:val="252"/>
        </w:trPr>
        <w:tc>
          <w:tcPr>
            <w:tcW w:w="6540" w:type="dxa"/>
            <w:vAlign w:val="bottom"/>
          </w:tcPr>
          <w:p>
            <w:pPr>
              <w:spacing w:after="0"/>
              <w:rPr>
                <w:sz w:val="20"/>
                <w:szCs w:val="20"/>
                <w:color w:val="auto"/>
              </w:rPr>
            </w:pPr>
            <w:r>
              <w:rPr>
                <w:rFonts w:ascii="Arial" w:cs="Arial" w:eastAsia="Arial" w:hAnsi="Arial"/>
                <w:sz w:val="20"/>
                <w:szCs w:val="20"/>
                <w:color w:val="auto"/>
              </w:rPr>
              <w:t>Free cash flow (non-GAAP basis)</w:t>
            </w:r>
          </w:p>
        </w:tc>
        <w:tc>
          <w:tcPr>
            <w:tcW w:w="3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297,059</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189,324</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56.9</w:t>
            </w:r>
          </w:p>
        </w:tc>
      </w:tr>
      <w:tr>
        <w:trPr>
          <w:trHeight w:val="20"/>
        </w:trPr>
        <w:tc>
          <w:tcPr>
            <w:tcW w:w="6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20"/>
          </w:cols>
          <w:pgMar w:left="340" w:top="1020" w:right="33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NON-GAAP FINANCIAL INFORMATION</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TEGNA Inc.</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Unaudited, in thousands of dollars</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No. 5 (continued)</w:t>
      </w:r>
    </w:p>
    <w:tbl>
      <w:tblPr>
        <w:tblLayout w:type="fixed"/>
        <w:tblInd w:w="0" w:type="dxa"/>
        <w:tblCellMar>
          <w:top w:w="0" w:type="dxa"/>
          <w:left w:w="0" w:type="dxa"/>
          <w:bottom w:w="0" w:type="dxa"/>
          <w:right w:w="0" w:type="dxa"/>
        </w:tblCellMar>
      </w:tblPr>
      <w:tr>
        <w:trPr>
          <w:trHeight w:val="226"/>
        </w:trPr>
        <w:tc>
          <w:tcPr>
            <w:tcW w:w="7560" w:type="dxa"/>
            <w:vAlign w:val="bottom"/>
          </w:tcPr>
          <w:p>
            <w:pPr>
              <w:spacing w:after="0"/>
              <w:rPr>
                <w:sz w:val="19"/>
                <w:szCs w:val="19"/>
                <w:color w:val="auto"/>
              </w:rPr>
            </w:pPr>
          </w:p>
        </w:tc>
        <w:tc>
          <w:tcPr>
            <w:tcW w:w="2880" w:type="dxa"/>
            <w:vAlign w:val="bottom"/>
            <w:gridSpan w:val="2"/>
          </w:tcPr>
          <w:p>
            <w:pPr>
              <w:ind w:left="40"/>
              <w:spacing w:after="0" w:line="226" w:lineRule="exact"/>
              <w:rPr>
                <w:sz w:val="20"/>
                <w:szCs w:val="20"/>
                <w:color w:val="auto"/>
              </w:rPr>
            </w:pPr>
            <w:r>
              <w:rPr>
                <w:rFonts w:ascii="Arial" w:cs="Arial" w:eastAsia="Arial" w:hAnsi="Arial"/>
                <w:sz w:val="20"/>
                <w:szCs w:val="20"/>
                <w:color w:val="auto"/>
                <w:w w:val="98"/>
              </w:rPr>
              <w:t>Two-year period ended Dec. 31,</w:t>
            </w:r>
          </w:p>
        </w:tc>
      </w:tr>
      <w:tr>
        <w:trPr>
          <w:trHeight w:val="256"/>
        </w:trPr>
        <w:tc>
          <w:tcPr>
            <w:tcW w:w="756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tcPr>
          <w:p>
            <w:pPr>
              <w:jc w:val="right"/>
              <w:ind w:right="1121"/>
              <w:spacing w:after="0"/>
              <w:rPr>
                <w:sz w:val="20"/>
                <w:szCs w:val="20"/>
                <w:color w:val="auto"/>
              </w:rPr>
            </w:pPr>
            <w:r>
              <w:rPr>
                <w:rFonts w:ascii="Arial" w:cs="Arial" w:eastAsia="Arial" w:hAnsi="Arial"/>
                <w:sz w:val="20"/>
                <w:szCs w:val="20"/>
                <w:color w:val="auto"/>
              </w:rPr>
              <w:t>2022</w:t>
            </w:r>
          </w:p>
        </w:tc>
      </w:tr>
      <w:tr>
        <w:trPr>
          <w:trHeight w:val="498"/>
        </w:trPr>
        <w:tc>
          <w:tcPr>
            <w:tcW w:w="7560" w:type="dxa"/>
            <w:vAlign w:val="bottom"/>
          </w:tcPr>
          <w:p>
            <w:pPr>
              <w:spacing w:after="0"/>
              <w:rPr>
                <w:sz w:val="20"/>
                <w:szCs w:val="20"/>
                <w:color w:val="auto"/>
              </w:rPr>
            </w:pPr>
            <w:r>
              <w:rPr>
                <w:rFonts w:ascii="Arial" w:cs="Arial" w:eastAsia="Arial" w:hAnsi="Arial"/>
                <w:sz w:val="20"/>
                <w:szCs w:val="20"/>
                <w:color w:val="auto"/>
              </w:rPr>
              <w:t>Net income attributable to TEGNA Inc. (GAAP basis)</w:t>
            </w:r>
          </w:p>
        </w:tc>
        <w:tc>
          <w:tcPr>
            <w:tcW w:w="680" w:type="dxa"/>
            <w:vAlign w:val="bottom"/>
          </w:tcPr>
          <w:p>
            <w:pPr>
              <w:ind w:left="20"/>
              <w:spacing w:after="0"/>
              <w:rPr>
                <w:sz w:val="20"/>
                <w:szCs w:val="20"/>
                <w:color w:val="auto"/>
              </w:rPr>
            </w:pPr>
            <w:r>
              <w:rPr>
                <w:rFonts w:ascii="Arial" w:cs="Arial" w:eastAsia="Arial" w:hAnsi="Arial"/>
                <w:sz w:val="20"/>
                <w:szCs w:val="20"/>
                <w:color w:val="auto"/>
              </w:rPr>
              <w:t>$</w:t>
            </w:r>
          </w:p>
        </w:tc>
        <w:tc>
          <w:tcPr>
            <w:tcW w:w="2200" w:type="dxa"/>
            <w:vAlign w:val="bottom"/>
          </w:tcPr>
          <w:p>
            <w:pPr>
              <w:jc w:val="right"/>
              <w:ind w:right="21"/>
              <w:spacing w:after="0"/>
              <w:rPr>
                <w:sz w:val="20"/>
                <w:szCs w:val="20"/>
                <w:color w:val="auto"/>
              </w:rPr>
            </w:pPr>
            <w:r>
              <w:rPr>
                <w:rFonts w:ascii="Arial" w:cs="Arial" w:eastAsia="Arial" w:hAnsi="Arial"/>
                <w:sz w:val="20"/>
                <w:szCs w:val="20"/>
                <w:color w:val="auto"/>
              </w:rPr>
              <w:t>1,107,424</w:t>
            </w:r>
          </w:p>
        </w:tc>
      </w:tr>
      <w:tr>
        <w:trPr>
          <w:trHeight w:val="257"/>
        </w:trPr>
        <w:tc>
          <w:tcPr>
            <w:tcW w:w="7560" w:type="dxa"/>
            <w:vAlign w:val="bottom"/>
          </w:tcPr>
          <w:p>
            <w:pPr>
              <w:ind w:left="200"/>
              <w:spacing w:after="0"/>
              <w:rPr>
                <w:sz w:val="20"/>
                <w:szCs w:val="20"/>
                <w:color w:val="auto"/>
              </w:rPr>
            </w:pPr>
            <w:r>
              <w:rPr>
                <w:rFonts w:ascii="Arial" w:cs="Arial" w:eastAsia="Arial" w:hAnsi="Arial"/>
                <w:sz w:val="20"/>
                <w:szCs w:val="20"/>
                <w:color w:val="auto"/>
              </w:rPr>
              <w:t>Plus: Provision for income taxes</w:t>
            </w:r>
          </w:p>
        </w:tc>
        <w:tc>
          <w:tcPr>
            <w:tcW w:w="680" w:type="dxa"/>
            <w:vAlign w:val="bottom"/>
          </w:tcPr>
          <w:p>
            <w:pPr>
              <w:spacing w:after="0"/>
              <w:rPr>
                <w:sz w:val="22"/>
                <w:szCs w:val="22"/>
                <w:color w:val="auto"/>
              </w:rPr>
            </w:pPr>
          </w:p>
        </w:tc>
        <w:tc>
          <w:tcPr>
            <w:tcW w:w="2200" w:type="dxa"/>
            <w:vAlign w:val="bottom"/>
          </w:tcPr>
          <w:p>
            <w:pPr>
              <w:jc w:val="right"/>
              <w:ind w:right="21"/>
              <w:spacing w:after="0"/>
              <w:rPr>
                <w:sz w:val="20"/>
                <w:szCs w:val="20"/>
                <w:color w:val="auto"/>
              </w:rPr>
            </w:pPr>
            <w:r>
              <w:rPr>
                <w:rFonts w:ascii="Arial" w:cs="Arial" w:eastAsia="Arial" w:hAnsi="Arial"/>
                <w:sz w:val="20"/>
                <w:szCs w:val="20"/>
                <w:color w:val="auto"/>
              </w:rPr>
              <w:t>337,851</w:t>
            </w:r>
          </w:p>
        </w:tc>
      </w:tr>
      <w:tr>
        <w:trPr>
          <w:trHeight w:val="257"/>
        </w:trPr>
        <w:tc>
          <w:tcPr>
            <w:tcW w:w="7560" w:type="dxa"/>
            <w:vAlign w:val="bottom"/>
          </w:tcPr>
          <w:p>
            <w:pPr>
              <w:ind w:left="200"/>
              <w:spacing w:after="0"/>
              <w:rPr>
                <w:sz w:val="20"/>
                <w:szCs w:val="20"/>
                <w:color w:val="auto"/>
              </w:rPr>
            </w:pPr>
            <w:r>
              <w:rPr>
                <w:rFonts w:ascii="Arial" w:cs="Arial" w:eastAsia="Arial" w:hAnsi="Arial"/>
                <w:sz w:val="20"/>
                <w:szCs w:val="20"/>
                <w:color w:val="auto"/>
              </w:rPr>
              <w:t>Plus: Interest expense</w:t>
            </w:r>
          </w:p>
        </w:tc>
        <w:tc>
          <w:tcPr>
            <w:tcW w:w="680" w:type="dxa"/>
            <w:vAlign w:val="bottom"/>
          </w:tcPr>
          <w:p>
            <w:pPr>
              <w:spacing w:after="0"/>
              <w:rPr>
                <w:sz w:val="22"/>
                <w:szCs w:val="22"/>
                <w:color w:val="auto"/>
              </w:rPr>
            </w:pPr>
          </w:p>
        </w:tc>
        <w:tc>
          <w:tcPr>
            <w:tcW w:w="2200" w:type="dxa"/>
            <w:vAlign w:val="bottom"/>
          </w:tcPr>
          <w:p>
            <w:pPr>
              <w:jc w:val="right"/>
              <w:ind w:right="21"/>
              <w:spacing w:after="0"/>
              <w:rPr>
                <w:sz w:val="20"/>
                <w:szCs w:val="20"/>
                <w:color w:val="auto"/>
              </w:rPr>
            </w:pPr>
            <w:r>
              <w:rPr>
                <w:rFonts w:ascii="Arial" w:cs="Arial" w:eastAsia="Arial" w:hAnsi="Arial"/>
                <w:sz w:val="20"/>
                <w:szCs w:val="20"/>
                <w:color w:val="auto"/>
              </w:rPr>
              <w:t>359,672</w:t>
            </w:r>
          </w:p>
        </w:tc>
      </w:tr>
      <w:tr>
        <w:trPr>
          <w:trHeight w:val="257"/>
        </w:trPr>
        <w:tc>
          <w:tcPr>
            <w:tcW w:w="7560" w:type="dxa"/>
            <w:vAlign w:val="bottom"/>
          </w:tcPr>
          <w:p>
            <w:pPr>
              <w:ind w:left="200"/>
              <w:spacing w:after="0"/>
              <w:rPr>
                <w:sz w:val="20"/>
                <w:szCs w:val="20"/>
                <w:color w:val="auto"/>
              </w:rPr>
            </w:pPr>
            <w:r>
              <w:rPr>
                <w:rFonts w:ascii="Arial" w:cs="Arial" w:eastAsia="Arial" w:hAnsi="Arial"/>
                <w:sz w:val="20"/>
                <w:szCs w:val="20"/>
                <w:color w:val="auto"/>
              </w:rPr>
              <w:t>Plus: M&amp;A-related costs</w:t>
            </w:r>
          </w:p>
        </w:tc>
        <w:tc>
          <w:tcPr>
            <w:tcW w:w="680" w:type="dxa"/>
            <w:vAlign w:val="bottom"/>
          </w:tcPr>
          <w:p>
            <w:pPr>
              <w:spacing w:after="0"/>
              <w:rPr>
                <w:sz w:val="22"/>
                <w:szCs w:val="22"/>
                <w:color w:val="auto"/>
              </w:rPr>
            </w:pPr>
          </w:p>
        </w:tc>
        <w:tc>
          <w:tcPr>
            <w:tcW w:w="2200" w:type="dxa"/>
            <w:vAlign w:val="bottom"/>
          </w:tcPr>
          <w:p>
            <w:pPr>
              <w:jc w:val="right"/>
              <w:ind w:right="21"/>
              <w:spacing w:after="0"/>
              <w:rPr>
                <w:sz w:val="20"/>
                <w:szCs w:val="20"/>
                <w:color w:val="auto"/>
              </w:rPr>
            </w:pPr>
            <w:r>
              <w:rPr>
                <w:rFonts w:ascii="Arial" w:cs="Arial" w:eastAsia="Arial" w:hAnsi="Arial"/>
                <w:sz w:val="20"/>
                <w:szCs w:val="20"/>
                <w:color w:val="auto"/>
              </w:rPr>
              <w:t>24,255</w:t>
            </w:r>
          </w:p>
        </w:tc>
      </w:tr>
      <w:tr>
        <w:trPr>
          <w:trHeight w:val="256"/>
        </w:trPr>
        <w:tc>
          <w:tcPr>
            <w:tcW w:w="7560" w:type="dxa"/>
            <w:vAlign w:val="bottom"/>
          </w:tcPr>
          <w:p>
            <w:pPr>
              <w:ind w:left="200"/>
              <w:spacing w:after="0"/>
              <w:rPr>
                <w:sz w:val="20"/>
                <w:szCs w:val="20"/>
                <w:color w:val="auto"/>
              </w:rPr>
            </w:pPr>
            <w:r>
              <w:rPr>
                <w:rFonts w:ascii="Arial" w:cs="Arial" w:eastAsia="Arial" w:hAnsi="Arial"/>
                <w:sz w:val="20"/>
                <w:szCs w:val="20"/>
                <w:color w:val="auto"/>
              </w:rPr>
              <w:t>Plus: Depreciation</w:t>
            </w:r>
          </w:p>
        </w:tc>
        <w:tc>
          <w:tcPr>
            <w:tcW w:w="680" w:type="dxa"/>
            <w:vAlign w:val="bottom"/>
          </w:tcPr>
          <w:p>
            <w:pPr>
              <w:spacing w:after="0"/>
              <w:rPr>
                <w:sz w:val="22"/>
                <w:szCs w:val="22"/>
                <w:color w:val="auto"/>
              </w:rPr>
            </w:pPr>
          </w:p>
        </w:tc>
        <w:tc>
          <w:tcPr>
            <w:tcW w:w="2200" w:type="dxa"/>
            <w:vAlign w:val="bottom"/>
          </w:tcPr>
          <w:p>
            <w:pPr>
              <w:jc w:val="right"/>
              <w:ind w:right="21"/>
              <w:spacing w:after="0"/>
              <w:rPr>
                <w:sz w:val="20"/>
                <w:szCs w:val="20"/>
                <w:color w:val="auto"/>
              </w:rPr>
            </w:pPr>
            <w:r>
              <w:rPr>
                <w:rFonts w:ascii="Arial" w:cs="Arial" w:eastAsia="Arial" w:hAnsi="Arial"/>
                <w:sz w:val="20"/>
                <w:szCs w:val="20"/>
                <w:color w:val="auto"/>
              </w:rPr>
              <w:t>126,036</w:t>
            </w:r>
          </w:p>
        </w:tc>
      </w:tr>
      <w:tr>
        <w:trPr>
          <w:trHeight w:val="257"/>
        </w:trPr>
        <w:tc>
          <w:tcPr>
            <w:tcW w:w="7560" w:type="dxa"/>
            <w:vAlign w:val="bottom"/>
          </w:tcPr>
          <w:p>
            <w:pPr>
              <w:ind w:left="200"/>
              <w:spacing w:after="0"/>
              <w:rPr>
                <w:sz w:val="20"/>
                <w:szCs w:val="20"/>
                <w:color w:val="auto"/>
              </w:rPr>
            </w:pPr>
            <w:r>
              <w:rPr>
                <w:rFonts w:ascii="Arial" w:cs="Arial" w:eastAsia="Arial" w:hAnsi="Arial"/>
                <w:sz w:val="20"/>
                <w:szCs w:val="20"/>
                <w:color w:val="auto"/>
              </w:rPr>
              <w:t>Plus: Amortization</w:t>
            </w:r>
          </w:p>
        </w:tc>
        <w:tc>
          <w:tcPr>
            <w:tcW w:w="680" w:type="dxa"/>
            <w:vAlign w:val="bottom"/>
          </w:tcPr>
          <w:p>
            <w:pPr>
              <w:spacing w:after="0"/>
              <w:rPr>
                <w:sz w:val="22"/>
                <w:szCs w:val="22"/>
                <w:color w:val="auto"/>
              </w:rPr>
            </w:pPr>
          </w:p>
        </w:tc>
        <w:tc>
          <w:tcPr>
            <w:tcW w:w="2200" w:type="dxa"/>
            <w:vAlign w:val="bottom"/>
          </w:tcPr>
          <w:p>
            <w:pPr>
              <w:jc w:val="right"/>
              <w:ind w:right="21"/>
              <w:spacing w:after="0"/>
              <w:rPr>
                <w:sz w:val="20"/>
                <w:szCs w:val="20"/>
                <w:color w:val="auto"/>
              </w:rPr>
            </w:pPr>
            <w:r>
              <w:rPr>
                <w:rFonts w:ascii="Arial" w:cs="Arial" w:eastAsia="Arial" w:hAnsi="Arial"/>
                <w:sz w:val="20"/>
                <w:szCs w:val="20"/>
                <w:color w:val="auto"/>
              </w:rPr>
              <w:t>122,893</w:t>
            </w:r>
          </w:p>
        </w:tc>
      </w:tr>
      <w:tr>
        <w:trPr>
          <w:trHeight w:val="257"/>
        </w:trPr>
        <w:tc>
          <w:tcPr>
            <w:tcW w:w="7560" w:type="dxa"/>
            <w:vAlign w:val="bottom"/>
          </w:tcPr>
          <w:p>
            <w:pPr>
              <w:ind w:left="200"/>
              <w:spacing w:after="0"/>
              <w:rPr>
                <w:sz w:val="20"/>
                <w:szCs w:val="20"/>
                <w:color w:val="auto"/>
              </w:rPr>
            </w:pPr>
            <w:r>
              <w:rPr>
                <w:rFonts w:ascii="Arial" w:cs="Arial" w:eastAsia="Arial" w:hAnsi="Arial"/>
                <w:sz w:val="20"/>
                <w:szCs w:val="20"/>
                <w:color w:val="auto"/>
              </w:rPr>
              <w:t>Plus: Stock-based compensation</w:t>
            </w:r>
          </w:p>
        </w:tc>
        <w:tc>
          <w:tcPr>
            <w:tcW w:w="680" w:type="dxa"/>
            <w:vAlign w:val="bottom"/>
          </w:tcPr>
          <w:p>
            <w:pPr>
              <w:spacing w:after="0"/>
              <w:rPr>
                <w:sz w:val="22"/>
                <w:szCs w:val="22"/>
                <w:color w:val="auto"/>
              </w:rPr>
            </w:pPr>
          </w:p>
        </w:tc>
        <w:tc>
          <w:tcPr>
            <w:tcW w:w="2200" w:type="dxa"/>
            <w:vAlign w:val="bottom"/>
          </w:tcPr>
          <w:p>
            <w:pPr>
              <w:jc w:val="right"/>
              <w:ind w:right="21"/>
              <w:spacing w:after="0"/>
              <w:rPr>
                <w:sz w:val="20"/>
                <w:szCs w:val="20"/>
                <w:color w:val="auto"/>
              </w:rPr>
            </w:pPr>
            <w:r>
              <w:rPr>
                <w:rFonts w:ascii="Arial" w:cs="Arial" w:eastAsia="Arial" w:hAnsi="Arial"/>
                <w:sz w:val="20"/>
                <w:szCs w:val="20"/>
                <w:color w:val="auto"/>
              </w:rPr>
              <w:t>61,996</w:t>
            </w:r>
          </w:p>
        </w:tc>
      </w:tr>
      <w:tr>
        <w:trPr>
          <w:trHeight w:val="257"/>
        </w:trPr>
        <w:tc>
          <w:tcPr>
            <w:tcW w:w="7560" w:type="dxa"/>
            <w:vAlign w:val="bottom"/>
          </w:tcPr>
          <w:p>
            <w:pPr>
              <w:ind w:left="200"/>
              <w:spacing w:after="0"/>
              <w:rPr>
                <w:sz w:val="20"/>
                <w:szCs w:val="20"/>
                <w:color w:val="auto"/>
              </w:rPr>
            </w:pPr>
            <w:r>
              <w:rPr>
                <w:rFonts w:ascii="Arial" w:cs="Arial" w:eastAsia="Arial" w:hAnsi="Arial"/>
                <w:sz w:val="20"/>
                <w:szCs w:val="20"/>
                <w:color w:val="auto"/>
              </w:rPr>
              <w:t>Plus: Company stock 401(k) contribution</w:t>
            </w:r>
          </w:p>
        </w:tc>
        <w:tc>
          <w:tcPr>
            <w:tcW w:w="680" w:type="dxa"/>
            <w:vAlign w:val="bottom"/>
          </w:tcPr>
          <w:p>
            <w:pPr>
              <w:spacing w:after="0"/>
              <w:rPr>
                <w:sz w:val="22"/>
                <w:szCs w:val="22"/>
                <w:color w:val="auto"/>
              </w:rPr>
            </w:pPr>
          </w:p>
        </w:tc>
        <w:tc>
          <w:tcPr>
            <w:tcW w:w="2200" w:type="dxa"/>
            <w:vAlign w:val="bottom"/>
          </w:tcPr>
          <w:p>
            <w:pPr>
              <w:jc w:val="right"/>
              <w:ind w:right="21"/>
              <w:spacing w:after="0"/>
              <w:rPr>
                <w:sz w:val="20"/>
                <w:szCs w:val="20"/>
                <w:color w:val="auto"/>
              </w:rPr>
            </w:pPr>
            <w:r>
              <w:rPr>
                <w:rFonts w:ascii="Arial" w:cs="Arial" w:eastAsia="Arial" w:hAnsi="Arial"/>
                <w:sz w:val="20"/>
                <w:szCs w:val="20"/>
                <w:color w:val="auto"/>
              </w:rPr>
              <w:t>35,803</w:t>
            </w:r>
          </w:p>
        </w:tc>
      </w:tr>
      <w:tr>
        <w:trPr>
          <w:trHeight w:val="256"/>
        </w:trPr>
        <w:tc>
          <w:tcPr>
            <w:tcW w:w="7560" w:type="dxa"/>
            <w:vAlign w:val="bottom"/>
          </w:tcPr>
          <w:p>
            <w:pPr>
              <w:ind w:left="200"/>
              <w:spacing w:after="0"/>
              <w:rPr>
                <w:sz w:val="20"/>
                <w:szCs w:val="20"/>
                <w:color w:val="auto"/>
              </w:rPr>
            </w:pPr>
            <w:r>
              <w:rPr>
                <w:rFonts w:ascii="Arial" w:cs="Arial" w:eastAsia="Arial" w:hAnsi="Arial"/>
                <w:sz w:val="20"/>
                <w:szCs w:val="20"/>
                <w:color w:val="auto"/>
              </w:rPr>
              <w:t>Plus: Syndicated programming amortization</w:t>
            </w:r>
          </w:p>
        </w:tc>
        <w:tc>
          <w:tcPr>
            <w:tcW w:w="680" w:type="dxa"/>
            <w:vAlign w:val="bottom"/>
          </w:tcPr>
          <w:p>
            <w:pPr>
              <w:spacing w:after="0"/>
              <w:rPr>
                <w:sz w:val="22"/>
                <w:szCs w:val="22"/>
                <w:color w:val="auto"/>
              </w:rPr>
            </w:pPr>
          </w:p>
        </w:tc>
        <w:tc>
          <w:tcPr>
            <w:tcW w:w="2200" w:type="dxa"/>
            <w:vAlign w:val="bottom"/>
          </w:tcPr>
          <w:p>
            <w:pPr>
              <w:jc w:val="right"/>
              <w:ind w:right="21"/>
              <w:spacing w:after="0"/>
              <w:rPr>
                <w:sz w:val="20"/>
                <w:szCs w:val="20"/>
                <w:color w:val="auto"/>
              </w:rPr>
            </w:pPr>
            <w:r>
              <w:rPr>
                <w:rFonts w:ascii="Arial" w:cs="Arial" w:eastAsia="Arial" w:hAnsi="Arial"/>
                <w:sz w:val="20"/>
                <w:szCs w:val="20"/>
                <w:color w:val="auto"/>
              </w:rPr>
              <w:t>139,482</w:t>
            </w:r>
          </w:p>
        </w:tc>
      </w:tr>
      <w:tr>
        <w:trPr>
          <w:trHeight w:val="257"/>
        </w:trPr>
        <w:tc>
          <w:tcPr>
            <w:tcW w:w="7560" w:type="dxa"/>
            <w:vAlign w:val="bottom"/>
          </w:tcPr>
          <w:p>
            <w:pPr>
              <w:ind w:left="200"/>
              <w:spacing w:after="0"/>
              <w:rPr>
                <w:sz w:val="20"/>
                <w:szCs w:val="20"/>
                <w:color w:val="auto"/>
              </w:rPr>
            </w:pPr>
            <w:r>
              <w:rPr>
                <w:rFonts w:ascii="Arial" w:cs="Arial" w:eastAsia="Arial" w:hAnsi="Arial"/>
                <w:sz w:val="20"/>
                <w:szCs w:val="20"/>
                <w:color w:val="auto"/>
              </w:rPr>
              <w:t>Plus: Advisory fees related to activism defense</w:t>
            </w:r>
          </w:p>
        </w:tc>
        <w:tc>
          <w:tcPr>
            <w:tcW w:w="680" w:type="dxa"/>
            <w:vAlign w:val="bottom"/>
          </w:tcPr>
          <w:p>
            <w:pPr>
              <w:spacing w:after="0"/>
              <w:rPr>
                <w:sz w:val="22"/>
                <w:szCs w:val="22"/>
                <w:color w:val="auto"/>
              </w:rPr>
            </w:pPr>
          </w:p>
        </w:tc>
        <w:tc>
          <w:tcPr>
            <w:tcW w:w="2200" w:type="dxa"/>
            <w:vAlign w:val="bottom"/>
          </w:tcPr>
          <w:p>
            <w:pPr>
              <w:jc w:val="right"/>
              <w:ind w:right="21"/>
              <w:spacing w:after="0"/>
              <w:rPr>
                <w:sz w:val="20"/>
                <w:szCs w:val="20"/>
                <w:color w:val="auto"/>
              </w:rPr>
            </w:pPr>
            <w:r>
              <w:rPr>
                <w:rFonts w:ascii="Arial" w:cs="Arial" w:eastAsia="Arial" w:hAnsi="Arial"/>
                <w:sz w:val="20"/>
                <w:szCs w:val="20"/>
                <w:color w:val="auto"/>
              </w:rPr>
              <w:t>16,611</w:t>
            </w:r>
          </w:p>
        </w:tc>
      </w:tr>
      <w:tr>
        <w:trPr>
          <w:trHeight w:val="257"/>
        </w:trPr>
        <w:tc>
          <w:tcPr>
            <w:tcW w:w="7560" w:type="dxa"/>
            <w:vAlign w:val="bottom"/>
          </w:tcPr>
          <w:p>
            <w:pPr>
              <w:ind w:left="200"/>
              <w:spacing w:after="0"/>
              <w:rPr>
                <w:sz w:val="20"/>
                <w:szCs w:val="20"/>
                <w:color w:val="auto"/>
              </w:rPr>
            </w:pPr>
            <w:r>
              <w:rPr>
                <w:rFonts w:ascii="Arial" w:cs="Arial" w:eastAsia="Arial" w:hAnsi="Arial"/>
                <w:sz w:val="20"/>
                <w:szCs w:val="20"/>
                <w:color w:val="auto"/>
              </w:rPr>
              <w:t>Plus: Cash dividend from equity investments for return on capital</w:t>
            </w:r>
          </w:p>
        </w:tc>
        <w:tc>
          <w:tcPr>
            <w:tcW w:w="680" w:type="dxa"/>
            <w:vAlign w:val="bottom"/>
          </w:tcPr>
          <w:p>
            <w:pPr>
              <w:spacing w:after="0"/>
              <w:rPr>
                <w:sz w:val="22"/>
                <w:szCs w:val="22"/>
                <w:color w:val="auto"/>
              </w:rPr>
            </w:pPr>
          </w:p>
        </w:tc>
        <w:tc>
          <w:tcPr>
            <w:tcW w:w="2200" w:type="dxa"/>
            <w:vAlign w:val="bottom"/>
          </w:tcPr>
          <w:p>
            <w:pPr>
              <w:jc w:val="right"/>
              <w:ind w:right="21"/>
              <w:spacing w:after="0"/>
              <w:rPr>
                <w:sz w:val="20"/>
                <w:szCs w:val="20"/>
                <w:color w:val="auto"/>
              </w:rPr>
            </w:pPr>
            <w:r>
              <w:rPr>
                <w:rFonts w:ascii="Arial" w:cs="Arial" w:eastAsia="Arial" w:hAnsi="Arial"/>
                <w:sz w:val="20"/>
                <w:szCs w:val="20"/>
                <w:color w:val="auto"/>
              </w:rPr>
              <w:t>5,633</w:t>
            </w:r>
          </w:p>
        </w:tc>
      </w:tr>
      <w:tr>
        <w:trPr>
          <w:trHeight w:val="257"/>
        </w:trPr>
        <w:tc>
          <w:tcPr>
            <w:tcW w:w="7560" w:type="dxa"/>
            <w:vAlign w:val="bottom"/>
          </w:tcPr>
          <w:p>
            <w:pPr>
              <w:ind w:left="200"/>
              <w:spacing w:after="0"/>
              <w:rPr>
                <w:sz w:val="20"/>
                <w:szCs w:val="20"/>
                <w:color w:val="auto"/>
              </w:rPr>
            </w:pPr>
            <w:r>
              <w:rPr>
                <w:rFonts w:ascii="Arial" w:cs="Arial" w:eastAsia="Arial" w:hAnsi="Arial"/>
                <w:sz w:val="20"/>
                <w:szCs w:val="20"/>
                <w:color w:val="auto"/>
              </w:rPr>
              <w:t>Plus: Cash reimbursements from spectrum repacking</w:t>
            </w:r>
          </w:p>
        </w:tc>
        <w:tc>
          <w:tcPr>
            <w:tcW w:w="680" w:type="dxa"/>
            <w:vAlign w:val="bottom"/>
          </w:tcPr>
          <w:p>
            <w:pPr>
              <w:spacing w:after="0"/>
              <w:rPr>
                <w:sz w:val="22"/>
                <w:szCs w:val="22"/>
                <w:color w:val="auto"/>
              </w:rPr>
            </w:pPr>
          </w:p>
        </w:tc>
        <w:tc>
          <w:tcPr>
            <w:tcW w:w="2200" w:type="dxa"/>
            <w:vAlign w:val="bottom"/>
          </w:tcPr>
          <w:p>
            <w:pPr>
              <w:jc w:val="right"/>
              <w:ind w:right="21"/>
              <w:spacing w:after="0"/>
              <w:rPr>
                <w:sz w:val="20"/>
                <w:szCs w:val="20"/>
                <w:color w:val="auto"/>
              </w:rPr>
            </w:pPr>
            <w:r>
              <w:rPr>
                <w:rFonts w:ascii="Arial" w:cs="Arial" w:eastAsia="Arial" w:hAnsi="Arial"/>
                <w:sz w:val="20"/>
                <w:szCs w:val="20"/>
                <w:color w:val="auto"/>
              </w:rPr>
              <w:t>5,265</w:t>
            </w:r>
          </w:p>
        </w:tc>
      </w:tr>
      <w:tr>
        <w:trPr>
          <w:trHeight w:val="257"/>
        </w:trPr>
        <w:tc>
          <w:tcPr>
            <w:tcW w:w="7560" w:type="dxa"/>
            <w:vAlign w:val="bottom"/>
          </w:tcPr>
          <w:p>
            <w:pPr>
              <w:ind w:left="200"/>
              <w:spacing w:after="0"/>
              <w:rPr>
                <w:sz w:val="20"/>
                <w:szCs w:val="20"/>
                <w:color w:val="auto"/>
              </w:rPr>
            </w:pPr>
            <w:r>
              <w:rPr>
                <w:rFonts w:ascii="Arial" w:cs="Arial" w:eastAsia="Arial" w:hAnsi="Arial"/>
                <w:sz w:val="20"/>
                <w:szCs w:val="20"/>
                <w:color w:val="auto"/>
              </w:rPr>
              <w:t>Plus: Net income attributable to redeemable noncontrolling interest</w:t>
            </w:r>
          </w:p>
        </w:tc>
        <w:tc>
          <w:tcPr>
            <w:tcW w:w="680" w:type="dxa"/>
            <w:vAlign w:val="bottom"/>
          </w:tcPr>
          <w:p>
            <w:pPr>
              <w:spacing w:after="0"/>
              <w:rPr>
                <w:sz w:val="22"/>
                <w:szCs w:val="22"/>
                <w:color w:val="auto"/>
              </w:rPr>
            </w:pPr>
          </w:p>
        </w:tc>
        <w:tc>
          <w:tcPr>
            <w:tcW w:w="2200" w:type="dxa"/>
            <w:vAlign w:val="bottom"/>
          </w:tcPr>
          <w:p>
            <w:pPr>
              <w:jc w:val="right"/>
              <w:ind w:right="21"/>
              <w:spacing w:after="0"/>
              <w:rPr>
                <w:sz w:val="20"/>
                <w:szCs w:val="20"/>
                <w:color w:val="auto"/>
              </w:rPr>
            </w:pPr>
            <w:r>
              <w:rPr>
                <w:rFonts w:ascii="Arial" w:cs="Arial" w:eastAsia="Arial" w:hAnsi="Arial"/>
                <w:sz w:val="20"/>
                <w:szCs w:val="20"/>
                <w:color w:val="auto"/>
              </w:rPr>
              <w:t>1,971</w:t>
            </w:r>
          </w:p>
        </w:tc>
      </w:tr>
      <w:tr>
        <w:trPr>
          <w:trHeight w:val="257"/>
        </w:trPr>
        <w:tc>
          <w:tcPr>
            <w:tcW w:w="7560" w:type="dxa"/>
            <w:vAlign w:val="bottom"/>
          </w:tcPr>
          <w:p>
            <w:pPr>
              <w:ind w:left="200"/>
              <w:spacing w:after="0"/>
              <w:rPr>
                <w:sz w:val="20"/>
                <w:szCs w:val="20"/>
                <w:color w:val="auto"/>
              </w:rPr>
            </w:pPr>
            <w:r>
              <w:rPr>
                <w:rFonts w:ascii="Arial" w:cs="Arial" w:eastAsia="Arial" w:hAnsi="Arial"/>
                <w:sz w:val="20"/>
                <w:szCs w:val="20"/>
                <w:color w:val="auto"/>
              </w:rPr>
              <w:t>Plus: Reimbursement from Company-owned life insurance policies</w:t>
            </w:r>
          </w:p>
        </w:tc>
        <w:tc>
          <w:tcPr>
            <w:tcW w:w="680" w:type="dxa"/>
            <w:vAlign w:val="bottom"/>
          </w:tcPr>
          <w:p>
            <w:pPr>
              <w:spacing w:after="0"/>
              <w:rPr>
                <w:sz w:val="22"/>
                <w:szCs w:val="22"/>
                <w:color w:val="auto"/>
              </w:rPr>
            </w:pPr>
          </w:p>
        </w:tc>
        <w:tc>
          <w:tcPr>
            <w:tcW w:w="2200" w:type="dxa"/>
            <w:vAlign w:val="bottom"/>
          </w:tcPr>
          <w:p>
            <w:pPr>
              <w:jc w:val="right"/>
              <w:ind w:right="21"/>
              <w:spacing w:after="0"/>
              <w:rPr>
                <w:sz w:val="20"/>
                <w:szCs w:val="20"/>
                <w:color w:val="auto"/>
              </w:rPr>
            </w:pPr>
            <w:r>
              <w:rPr>
                <w:rFonts w:ascii="Arial" w:cs="Arial" w:eastAsia="Arial" w:hAnsi="Arial"/>
                <w:sz w:val="20"/>
                <w:szCs w:val="20"/>
                <w:color w:val="auto"/>
              </w:rPr>
              <w:t>1,929</w:t>
            </w:r>
          </w:p>
        </w:tc>
      </w:tr>
      <w:tr>
        <w:trPr>
          <w:trHeight w:val="256"/>
        </w:trPr>
        <w:tc>
          <w:tcPr>
            <w:tcW w:w="7560" w:type="dxa"/>
            <w:vAlign w:val="bottom"/>
          </w:tcPr>
          <w:p>
            <w:pPr>
              <w:ind w:left="200"/>
              <w:spacing w:after="0"/>
              <w:rPr>
                <w:sz w:val="20"/>
                <w:szCs w:val="20"/>
                <w:color w:val="auto"/>
              </w:rPr>
            </w:pPr>
            <w:r>
              <w:rPr>
                <w:rFonts w:ascii="Arial" w:cs="Arial" w:eastAsia="Arial" w:hAnsi="Arial"/>
                <w:sz w:val="20"/>
                <w:szCs w:val="20"/>
                <w:color w:val="auto"/>
              </w:rPr>
              <w:t>Plus: Equity income in unconsolidated investments, net</w:t>
            </w:r>
          </w:p>
        </w:tc>
        <w:tc>
          <w:tcPr>
            <w:tcW w:w="680" w:type="dxa"/>
            <w:vAlign w:val="bottom"/>
          </w:tcPr>
          <w:p>
            <w:pPr>
              <w:spacing w:after="0"/>
              <w:rPr>
                <w:sz w:val="22"/>
                <w:szCs w:val="22"/>
                <w:color w:val="auto"/>
              </w:rPr>
            </w:pPr>
          </w:p>
        </w:tc>
        <w:tc>
          <w:tcPr>
            <w:tcW w:w="2200" w:type="dxa"/>
            <w:vAlign w:val="bottom"/>
          </w:tcPr>
          <w:p>
            <w:pPr>
              <w:jc w:val="right"/>
              <w:ind w:right="21"/>
              <w:spacing w:after="0"/>
              <w:rPr>
                <w:sz w:val="20"/>
                <w:szCs w:val="20"/>
                <w:color w:val="auto"/>
              </w:rPr>
            </w:pPr>
            <w:r>
              <w:rPr>
                <w:rFonts w:ascii="Arial" w:cs="Arial" w:eastAsia="Arial" w:hAnsi="Arial"/>
                <w:sz w:val="20"/>
                <w:szCs w:val="20"/>
                <w:color w:val="auto"/>
              </w:rPr>
              <w:t>14,186</w:t>
            </w:r>
          </w:p>
        </w:tc>
      </w:tr>
      <w:tr>
        <w:trPr>
          <w:trHeight w:val="257"/>
        </w:trPr>
        <w:tc>
          <w:tcPr>
            <w:tcW w:w="7560" w:type="dxa"/>
            <w:vAlign w:val="bottom"/>
          </w:tcPr>
          <w:p>
            <w:pPr>
              <w:ind w:left="200"/>
              <w:spacing w:after="0"/>
              <w:rPr>
                <w:sz w:val="20"/>
                <w:szCs w:val="20"/>
                <w:color w:val="auto"/>
              </w:rPr>
            </w:pPr>
            <w:r>
              <w:rPr>
                <w:rFonts w:ascii="Arial" w:cs="Arial" w:eastAsia="Arial" w:hAnsi="Arial"/>
                <w:sz w:val="20"/>
                <w:szCs w:val="20"/>
                <w:color w:val="auto"/>
              </w:rPr>
              <w:t>Less: Spectrum repacking reimbursements and other, net</w:t>
            </w:r>
          </w:p>
        </w:tc>
        <w:tc>
          <w:tcPr>
            <w:tcW w:w="680" w:type="dxa"/>
            <w:vAlign w:val="bottom"/>
          </w:tcPr>
          <w:p>
            <w:pPr>
              <w:spacing w:after="0"/>
              <w:rPr>
                <w:sz w:val="22"/>
                <w:szCs w:val="22"/>
                <w:color w:val="auto"/>
              </w:rPr>
            </w:pPr>
          </w:p>
        </w:tc>
        <w:tc>
          <w:tcPr>
            <w:tcW w:w="2200" w:type="dxa"/>
            <w:vAlign w:val="bottom"/>
          </w:tcPr>
          <w:p>
            <w:pPr>
              <w:jc w:val="right"/>
              <w:ind w:right="21"/>
              <w:spacing w:after="0"/>
              <w:rPr>
                <w:sz w:val="20"/>
                <w:szCs w:val="20"/>
                <w:color w:val="auto"/>
              </w:rPr>
            </w:pPr>
            <w:r>
              <w:rPr>
                <w:rFonts w:ascii="Arial" w:cs="Arial" w:eastAsia="Arial" w:hAnsi="Arial"/>
                <w:sz w:val="20"/>
                <w:szCs w:val="20"/>
                <w:color w:val="auto"/>
              </w:rPr>
              <w:t>(2,630)</w:t>
            </w:r>
          </w:p>
        </w:tc>
      </w:tr>
      <w:tr>
        <w:trPr>
          <w:trHeight w:val="256"/>
        </w:trPr>
        <w:tc>
          <w:tcPr>
            <w:tcW w:w="7560" w:type="dxa"/>
            <w:vAlign w:val="bottom"/>
          </w:tcPr>
          <w:p>
            <w:pPr>
              <w:ind w:left="200"/>
              <w:spacing w:after="0"/>
              <w:rPr>
                <w:sz w:val="20"/>
                <w:szCs w:val="20"/>
                <w:color w:val="auto"/>
              </w:rPr>
            </w:pPr>
            <w:r>
              <w:rPr>
                <w:rFonts w:ascii="Arial" w:cs="Arial" w:eastAsia="Arial" w:hAnsi="Arial"/>
                <w:sz w:val="20"/>
                <w:szCs w:val="20"/>
                <w:color w:val="auto"/>
              </w:rPr>
              <w:t>Less: Other non-operating items, net</w:t>
            </w:r>
          </w:p>
        </w:tc>
        <w:tc>
          <w:tcPr>
            <w:tcW w:w="680" w:type="dxa"/>
            <w:vAlign w:val="bottom"/>
          </w:tcPr>
          <w:p>
            <w:pPr>
              <w:spacing w:after="0"/>
              <w:rPr>
                <w:sz w:val="22"/>
                <w:szCs w:val="22"/>
                <w:color w:val="auto"/>
              </w:rPr>
            </w:pPr>
          </w:p>
        </w:tc>
        <w:tc>
          <w:tcPr>
            <w:tcW w:w="2200" w:type="dxa"/>
            <w:vAlign w:val="bottom"/>
          </w:tcPr>
          <w:p>
            <w:pPr>
              <w:jc w:val="right"/>
              <w:ind w:right="21"/>
              <w:spacing w:after="0"/>
              <w:rPr>
                <w:sz w:val="20"/>
                <w:szCs w:val="20"/>
                <w:color w:val="auto"/>
              </w:rPr>
            </w:pPr>
            <w:r>
              <w:rPr>
                <w:rFonts w:ascii="Arial" w:cs="Arial" w:eastAsia="Arial" w:hAnsi="Arial"/>
                <w:sz w:val="20"/>
                <w:szCs w:val="20"/>
                <w:color w:val="auto"/>
              </w:rPr>
              <w:t>(28,256)</w:t>
            </w:r>
          </w:p>
        </w:tc>
      </w:tr>
      <w:tr>
        <w:trPr>
          <w:trHeight w:val="257"/>
        </w:trPr>
        <w:tc>
          <w:tcPr>
            <w:tcW w:w="7560" w:type="dxa"/>
            <w:vAlign w:val="bottom"/>
          </w:tcPr>
          <w:p>
            <w:pPr>
              <w:ind w:left="200"/>
              <w:spacing w:after="0"/>
              <w:rPr>
                <w:sz w:val="20"/>
                <w:szCs w:val="20"/>
                <w:color w:val="auto"/>
              </w:rPr>
            </w:pPr>
            <w:r>
              <w:rPr>
                <w:rFonts w:ascii="Arial" w:cs="Arial" w:eastAsia="Arial" w:hAnsi="Arial"/>
                <w:sz w:val="20"/>
                <w:szCs w:val="20"/>
                <w:color w:val="auto"/>
              </w:rPr>
              <w:t>Less: Syndicated programming payments</w:t>
            </w:r>
          </w:p>
        </w:tc>
        <w:tc>
          <w:tcPr>
            <w:tcW w:w="680" w:type="dxa"/>
            <w:vAlign w:val="bottom"/>
          </w:tcPr>
          <w:p>
            <w:pPr>
              <w:spacing w:after="0"/>
              <w:rPr>
                <w:sz w:val="22"/>
                <w:szCs w:val="22"/>
                <w:color w:val="auto"/>
              </w:rPr>
            </w:pPr>
          </w:p>
        </w:tc>
        <w:tc>
          <w:tcPr>
            <w:tcW w:w="2200" w:type="dxa"/>
            <w:vAlign w:val="bottom"/>
          </w:tcPr>
          <w:p>
            <w:pPr>
              <w:jc w:val="right"/>
              <w:ind w:right="21"/>
              <w:spacing w:after="0"/>
              <w:rPr>
                <w:sz w:val="20"/>
                <w:szCs w:val="20"/>
                <w:color w:val="auto"/>
              </w:rPr>
            </w:pPr>
            <w:r>
              <w:rPr>
                <w:rFonts w:ascii="Arial" w:cs="Arial" w:eastAsia="Arial" w:hAnsi="Arial"/>
                <w:sz w:val="20"/>
                <w:szCs w:val="20"/>
                <w:color w:val="auto"/>
              </w:rPr>
              <w:t>(139,252)</w:t>
            </w:r>
          </w:p>
        </w:tc>
      </w:tr>
      <w:tr>
        <w:trPr>
          <w:trHeight w:val="256"/>
        </w:trPr>
        <w:tc>
          <w:tcPr>
            <w:tcW w:w="7560" w:type="dxa"/>
            <w:vAlign w:val="bottom"/>
          </w:tcPr>
          <w:p>
            <w:pPr>
              <w:ind w:left="200"/>
              <w:spacing w:after="0"/>
              <w:rPr>
                <w:sz w:val="20"/>
                <w:szCs w:val="20"/>
                <w:color w:val="auto"/>
              </w:rPr>
            </w:pPr>
            <w:r>
              <w:rPr>
                <w:rFonts w:ascii="Arial" w:cs="Arial" w:eastAsia="Arial" w:hAnsi="Arial"/>
                <w:sz w:val="20"/>
                <w:szCs w:val="20"/>
                <w:color w:val="auto"/>
              </w:rPr>
              <w:t>Less: Income tax payments, net of refunds</w:t>
            </w:r>
          </w:p>
        </w:tc>
        <w:tc>
          <w:tcPr>
            <w:tcW w:w="680" w:type="dxa"/>
            <w:vAlign w:val="bottom"/>
          </w:tcPr>
          <w:p>
            <w:pPr>
              <w:spacing w:after="0"/>
              <w:rPr>
                <w:sz w:val="22"/>
                <w:szCs w:val="22"/>
                <w:color w:val="auto"/>
              </w:rPr>
            </w:pPr>
          </w:p>
        </w:tc>
        <w:tc>
          <w:tcPr>
            <w:tcW w:w="2200" w:type="dxa"/>
            <w:vAlign w:val="bottom"/>
          </w:tcPr>
          <w:p>
            <w:pPr>
              <w:jc w:val="right"/>
              <w:ind w:right="21"/>
              <w:spacing w:after="0"/>
              <w:rPr>
                <w:sz w:val="20"/>
                <w:szCs w:val="20"/>
                <w:color w:val="auto"/>
              </w:rPr>
            </w:pPr>
            <w:r>
              <w:rPr>
                <w:rFonts w:ascii="Arial" w:cs="Arial" w:eastAsia="Arial" w:hAnsi="Arial"/>
                <w:sz w:val="20"/>
                <w:szCs w:val="20"/>
                <w:color w:val="auto"/>
              </w:rPr>
              <w:t>(350,259)</w:t>
            </w:r>
          </w:p>
        </w:tc>
      </w:tr>
      <w:tr>
        <w:trPr>
          <w:trHeight w:val="257"/>
        </w:trPr>
        <w:tc>
          <w:tcPr>
            <w:tcW w:w="7560" w:type="dxa"/>
            <w:vAlign w:val="bottom"/>
          </w:tcPr>
          <w:p>
            <w:pPr>
              <w:ind w:left="200"/>
              <w:spacing w:after="0"/>
              <w:rPr>
                <w:sz w:val="20"/>
                <w:szCs w:val="20"/>
                <w:color w:val="auto"/>
              </w:rPr>
            </w:pPr>
            <w:r>
              <w:rPr>
                <w:rFonts w:ascii="Arial" w:cs="Arial" w:eastAsia="Arial" w:hAnsi="Arial"/>
                <w:sz w:val="20"/>
                <w:szCs w:val="20"/>
                <w:color w:val="auto"/>
              </w:rPr>
              <w:t>Less: Pension contributions</w:t>
            </w:r>
          </w:p>
        </w:tc>
        <w:tc>
          <w:tcPr>
            <w:tcW w:w="680" w:type="dxa"/>
            <w:vAlign w:val="bottom"/>
          </w:tcPr>
          <w:p>
            <w:pPr>
              <w:spacing w:after="0"/>
              <w:rPr>
                <w:sz w:val="22"/>
                <w:szCs w:val="22"/>
                <w:color w:val="auto"/>
              </w:rPr>
            </w:pPr>
          </w:p>
        </w:tc>
        <w:tc>
          <w:tcPr>
            <w:tcW w:w="2200" w:type="dxa"/>
            <w:vAlign w:val="bottom"/>
          </w:tcPr>
          <w:p>
            <w:pPr>
              <w:jc w:val="right"/>
              <w:ind w:right="21"/>
              <w:spacing w:after="0"/>
              <w:rPr>
                <w:sz w:val="20"/>
                <w:szCs w:val="20"/>
                <w:color w:val="auto"/>
              </w:rPr>
            </w:pPr>
            <w:r>
              <w:rPr>
                <w:rFonts w:ascii="Arial" w:cs="Arial" w:eastAsia="Arial" w:hAnsi="Arial"/>
                <w:sz w:val="20"/>
                <w:szCs w:val="20"/>
                <w:color w:val="auto"/>
              </w:rPr>
              <w:t>(12,125)</w:t>
            </w:r>
          </w:p>
        </w:tc>
      </w:tr>
      <w:tr>
        <w:trPr>
          <w:trHeight w:val="257"/>
        </w:trPr>
        <w:tc>
          <w:tcPr>
            <w:tcW w:w="7560" w:type="dxa"/>
            <w:vAlign w:val="bottom"/>
          </w:tcPr>
          <w:p>
            <w:pPr>
              <w:ind w:left="200"/>
              <w:spacing w:after="0"/>
              <w:rPr>
                <w:sz w:val="20"/>
                <w:szCs w:val="20"/>
                <w:color w:val="auto"/>
              </w:rPr>
            </w:pPr>
            <w:r>
              <w:rPr>
                <w:rFonts w:ascii="Arial" w:cs="Arial" w:eastAsia="Arial" w:hAnsi="Arial"/>
                <w:sz w:val="20"/>
                <w:szCs w:val="20"/>
                <w:color w:val="auto"/>
              </w:rPr>
              <w:t>Less: Interest payments</w:t>
            </w:r>
          </w:p>
        </w:tc>
        <w:tc>
          <w:tcPr>
            <w:tcW w:w="680" w:type="dxa"/>
            <w:vAlign w:val="bottom"/>
          </w:tcPr>
          <w:p>
            <w:pPr>
              <w:spacing w:after="0"/>
              <w:rPr>
                <w:sz w:val="22"/>
                <w:szCs w:val="22"/>
                <w:color w:val="auto"/>
              </w:rPr>
            </w:pPr>
          </w:p>
        </w:tc>
        <w:tc>
          <w:tcPr>
            <w:tcW w:w="2200" w:type="dxa"/>
            <w:vAlign w:val="bottom"/>
          </w:tcPr>
          <w:p>
            <w:pPr>
              <w:jc w:val="right"/>
              <w:ind w:right="21"/>
              <w:spacing w:after="0"/>
              <w:rPr>
                <w:sz w:val="20"/>
                <w:szCs w:val="20"/>
                <w:color w:val="auto"/>
              </w:rPr>
            </w:pPr>
            <w:r>
              <w:rPr>
                <w:rFonts w:ascii="Arial" w:cs="Arial" w:eastAsia="Arial" w:hAnsi="Arial"/>
                <w:sz w:val="20"/>
                <w:szCs w:val="20"/>
                <w:color w:val="auto"/>
              </w:rPr>
              <w:t>(347,336)</w:t>
            </w:r>
          </w:p>
        </w:tc>
      </w:tr>
      <w:tr>
        <w:trPr>
          <w:trHeight w:val="263"/>
        </w:trPr>
        <w:tc>
          <w:tcPr>
            <w:tcW w:w="7560" w:type="dxa"/>
            <w:vAlign w:val="bottom"/>
          </w:tcPr>
          <w:p>
            <w:pPr>
              <w:ind w:left="200"/>
              <w:spacing w:after="0"/>
              <w:rPr>
                <w:sz w:val="20"/>
                <w:szCs w:val="20"/>
                <w:color w:val="auto"/>
              </w:rPr>
            </w:pPr>
            <w:r>
              <w:rPr>
                <w:rFonts w:ascii="Arial" w:cs="Arial" w:eastAsia="Arial" w:hAnsi="Arial"/>
                <w:sz w:val="20"/>
                <w:szCs w:val="20"/>
                <w:color w:val="auto"/>
              </w:rPr>
              <w:t>Less: Purchases of property and equipment</w:t>
            </w:r>
          </w:p>
        </w:tc>
        <w:tc>
          <w:tcPr>
            <w:tcW w:w="6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(114,409)</w:t>
            </w:r>
          </w:p>
        </w:tc>
      </w:tr>
      <w:tr>
        <w:trPr>
          <w:trHeight w:val="252"/>
        </w:trPr>
        <w:tc>
          <w:tcPr>
            <w:tcW w:w="7560" w:type="dxa"/>
            <w:vAlign w:val="bottom"/>
          </w:tcPr>
          <w:p>
            <w:pPr>
              <w:spacing w:after="0"/>
              <w:rPr>
                <w:sz w:val="20"/>
                <w:szCs w:val="20"/>
                <w:color w:val="auto"/>
              </w:rPr>
            </w:pPr>
            <w:r>
              <w:rPr>
                <w:rFonts w:ascii="Arial" w:cs="Arial" w:eastAsia="Arial" w:hAnsi="Arial"/>
                <w:sz w:val="20"/>
                <w:szCs w:val="20"/>
                <w:color w:val="auto"/>
              </w:rPr>
              <w:t>Free cash flow (non-GAAP basis)</w:t>
            </w: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22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1,366,740</w:t>
            </w:r>
          </w:p>
        </w:tc>
      </w:tr>
      <w:tr>
        <w:trPr>
          <w:trHeight w:val="20"/>
        </w:trPr>
        <w:tc>
          <w:tcPr>
            <w:tcW w:w="7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485"/>
        </w:trPr>
        <w:tc>
          <w:tcPr>
            <w:tcW w:w="7560" w:type="dxa"/>
            <w:vAlign w:val="bottom"/>
          </w:tcPr>
          <w:p>
            <w:pPr>
              <w:spacing w:after="0"/>
              <w:rPr>
                <w:sz w:val="20"/>
                <w:szCs w:val="20"/>
                <w:color w:val="auto"/>
              </w:rPr>
            </w:pPr>
            <w:r>
              <w:rPr>
                <w:rFonts w:ascii="Arial" w:cs="Arial" w:eastAsia="Arial" w:hAnsi="Arial"/>
                <w:sz w:val="20"/>
                <w:szCs w:val="20"/>
                <w:color w:val="auto"/>
              </w:rPr>
              <w:t>Revenue</w:t>
            </w:r>
          </w:p>
        </w:tc>
        <w:tc>
          <w:tcPr>
            <w:tcW w:w="680" w:type="dxa"/>
            <w:vAlign w:val="bottom"/>
          </w:tcPr>
          <w:p>
            <w:pPr>
              <w:ind w:left="20"/>
              <w:spacing w:after="0"/>
              <w:rPr>
                <w:sz w:val="20"/>
                <w:szCs w:val="20"/>
                <w:color w:val="auto"/>
              </w:rPr>
            </w:pPr>
            <w:r>
              <w:rPr>
                <w:rFonts w:ascii="Arial" w:cs="Arial" w:eastAsia="Arial" w:hAnsi="Arial"/>
                <w:sz w:val="20"/>
                <w:szCs w:val="20"/>
                <w:color w:val="auto"/>
              </w:rPr>
              <w:t>$</w:t>
            </w:r>
          </w:p>
        </w:tc>
        <w:tc>
          <w:tcPr>
            <w:tcW w:w="2200" w:type="dxa"/>
            <w:vAlign w:val="bottom"/>
          </w:tcPr>
          <w:p>
            <w:pPr>
              <w:jc w:val="right"/>
              <w:ind w:right="21"/>
              <w:spacing w:after="0"/>
              <w:rPr>
                <w:sz w:val="20"/>
                <w:szCs w:val="20"/>
                <w:color w:val="auto"/>
              </w:rPr>
            </w:pPr>
            <w:r>
              <w:rPr>
                <w:rFonts w:ascii="Arial" w:cs="Arial" w:eastAsia="Arial" w:hAnsi="Arial"/>
                <w:sz w:val="20"/>
                <w:szCs w:val="20"/>
                <w:color w:val="auto"/>
              </w:rPr>
              <w:t>6,270,338</w:t>
            </w:r>
          </w:p>
        </w:tc>
      </w:tr>
      <w:tr>
        <w:trPr>
          <w:trHeight w:val="261"/>
        </w:trPr>
        <w:tc>
          <w:tcPr>
            <w:tcW w:w="7560" w:type="dxa"/>
            <w:vAlign w:val="bottom"/>
          </w:tcPr>
          <w:p>
            <w:pPr>
              <w:spacing w:after="0"/>
              <w:rPr>
                <w:sz w:val="20"/>
                <w:szCs w:val="20"/>
                <w:color w:val="auto"/>
              </w:rPr>
            </w:pPr>
            <w:r>
              <w:rPr>
                <w:rFonts w:ascii="Arial" w:cs="Arial" w:eastAsia="Arial" w:hAnsi="Arial"/>
                <w:sz w:val="20"/>
                <w:szCs w:val="20"/>
                <w:color w:val="auto"/>
              </w:rPr>
              <w:t>Free cash flow as a % of revenue</w:t>
            </w:r>
          </w:p>
        </w:tc>
        <w:tc>
          <w:tcPr>
            <w:tcW w:w="680" w:type="dxa"/>
            <w:vAlign w:val="bottom"/>
          </w:tcPr>
          <w:p>
            <w:pPr>
              <w:spacing w:after="0"/>
              <w:rPr>
                <w:sz w:val="22"/>
                <w:szCs w:val="22"/>
                <w:color w:val="auto"/>
              </w:rPr>
            </w:pPr>
          </w:p>
        </w:tc>
        <w:tc>
          <w:tcPr>
            <w:tcW w:w="2200" w:type="dxa"/>
            <w:vAlign w:val="bottom"/>
          </w:tcPr>
          <w:p>
            <w:pPr>
              <w:jc w:val="right"/>
              <w:spacing w:after="0"/>
              <w:rPr>
                <w:sz w:val="20"/>
                <w:szCs w:val="20"/>
                <w:color w:val="auto"/>
              </w:rPr>
            </w:pPr>
            <w:r>
              <w:rPr>
                <w:rFonts w:ascii="Arial" w:cs="Arial" w:eastAsia="Arial" w:hAnsi="Arial"/>
                <w:sz w:val="20"/>
                <w:szCs w:val="20"/>
                <w:color w:val="auto"/>
              </w:rPr>
              <w:t>21.8 %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20"/>
          </w:cols>
          <w:pgMar w:left="340" w:top="1020" w:right="33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NON-GAAP FINANCIAL INFORMATION</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TEGNA Inc.</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Unaudited, in thousands of dollars</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Table No. 6</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Below is a reconciliation of non-GAAP operating expenses to GAAP operating expenses on the company's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4"/>
          </w:tcPr>
          <w:p>
            <w:pPr>
              <w:jc w:val="right"/>
              <w:ind w:right="1090"/>
              <w:spacing w:after="0"/>
              <w:rPr>
                <w:sz w:val="20"/>
                <w:szCs w:val="20"/>
                <w:color w:val="auto"/>
              </w:rPr>
            </w:pPr>
            <w:r>
              <w:rPr>
                <w:rFonts w:ascii="Arial" w:cs="Arial" w:eastAsia="Arial" w:hAnsi="Arial"/>
                <w:sz w:val="18"/>
                <w:szCs w:val="18"/>
                <w:color w:val="auto"/>
              </w:rPr>
              <w:t>Quarter ended Dec. 31,</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2021</w:t>
            </w:r>
          </w:p>
        </w:tc>
        <w:tc>
          <w:tcPr>
            <w:tcW w:w="0" w:type="dxa"/>
            <w:vAlign w:val="bottom"/>
          </w:tcPr>
          <w:p>
            <w:pPr>
              <w:spacing w:after="0"/>
              <w:rPr>
                <w:sz w:val="1"/>
                <w:szCs w:val="1"/>
                <w:color w:val="auto"/>
              </w:rPr>
            </w:pPr>
          </w:p>
        </w:tc>
      </w:tr>
      <w:tr>
        <w:trPr>
          <w:trHeight w:val="215"/>
        </w:trPr>
        <w:tc>
          <w:tcPr>
            <w:tcW w:w="7000" w:type="dxa"/>
            <w:vAlign w:val="bottom"/>
          </w:tcPr>
          <w:p>
            <w:pPr>
              <w:spacing w:after="0"/>
              <w:rPr>
                <w:sz w:val="20"/>
                <w:szCs w:val="20"/>
                <w:color w:val="auto"/>
              </w:rPr>
            </w:pPr>
            <w:r>
              <w:rPr>
                <w:rFonts w:ascii="Arial" w:cs="Arial" w:eastAsia="Arial" w:hAnsi="Arial"/>
                <w:sz w:val="18"/>
                <w:szCs w:val="18"/>
                <w:color w:val="auto"/>
              </w:rPr>
              <w:t>Operating expenses (GAAP basis)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588,914</w:t>
            </w:r>
          </w:p>
        </w:tc>
        <w:tc>
          <w:tcPr>
            <w:tcW w:w="100" w:type="dxa"/>
            <w:vAlign w:val="bottom"/>
          </w:tcPr>
          <w:p>
            <w:pPr>
              <w:spacing w:after="0"/>
              <w:rPr>
                <w:sz w:val="18"/>
                <w:szCs w:val="18"/>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565,233</w:t>
            </w:r>
          </w:p>
        </w:tc>
        <w:tc>
          <w:tcPr>
            <w:tcW w:w="0" w:type="dxa"/>
            <w:vAlign w:val="bottom"/>
          </w:tcPr>
          <w:p>
            <w:pPr>
              <w:spacing w:after="0"/>
              <w:rPr>
                <w:sz w:val="1"/>
                <w:szCs w:val="1"/>
                <w:color w:val="auto"/>
              </w:rPr>
            </w:pPr>
          </w:p>
        </w:tc>
      </w:tr>
      <w:tr>
        <w:trPr>
          <w:trHeight w:val="237"/>
        </w:trPr>
        <w:tc>
          <w:tcPr>
            <w:tcW w:w="7000" w:type="dxa"/>
            <w:vAlign w:val="bottom"/>
          </w:tcPr>
          <w:p>
            <w:pPr>
              <w:ind w:left="220"/>
              <w:spacing w:after="0" w:line="237" w:lineRule="exact"/>
              <w:rPr>
                <w:sz w:val="20"/>
                <w:szCs w:val="20"/>
                <w:color w:val="auto"/>
              </w:rPr>
            </w:pPr>
            <w:r>
              <w:rPr>
                <w:rFonts w:ascii="Arial" w:cs="Arial" w:eastAsia="Arial" w:hAnsi="Arial"/>
                <w:sz w:val="18"/>
                <w:szCs w:val="18"/>
                <w:color w:val="auto"/>
              </w:rPr>
              <w:t xml:space="preserve">Less: Special items </w:t>
            </w:r>
            <w:r>
              <w:rPr>
                <w:rFonts w:ascii="Arial" w:cs="Arial" w:eastAsia="Arial" w:hAnsi="Arial"/>
                <w:sz w:val="23"/>
                <w:szCs w:val="23"/>
                <w:color w:val="auto"/>
                <w:vertAlign w:val="superscript"/>
              </w:rPr>
              <w:t>1</w:t>
            </w:r>
          </w:p>
        </w:tc>
        <w:tc>
          <w:tcPr>
            <w:tcW w:w="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Operating expenses (non-GAAP basis)</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586,545</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561,408</w:t>
            </w:r>
          </w:p>
        </w:tc>
        <w:tc>
          <w:tcPr>
            <w:tcW w:w="0" w:type="dxa"/>
            <w:vAlign w:val="bottom"/>
          </w:tcPr>
          <w:p>
            <w:pPr>
              <w:spacing w:after="0"/>
              <w:rPr>
                <w:sz w:val="1"/>
                <w:szCs w:val="1"/>
                <w:color w:val="auto"/>
              </w:rPr>
            </w:pPr>
          </w:p>
        </w:tc>
      </w:tr>
      <w:tr>
        <w:trPr>
          <w:trHeight w:val="223"/>
        </w:trPr>
        <w:tc>
          <w:tcPr>
            <w:tcW w:w="7000" w:type="dxa"/>
            <w:vAlign w:val="bottom"/>
          </w:tcPr>
          <w:p>
            <w:pPr>
              <w:ind w:left="220"/>
              <w:spacing w:after="0"/>
              <w:rPr>
                <w:sz w:val="20"/>
                <w:szCs w:val="20"/>
                <w:color w:val="auto"/>
              </w:rPr>
            </w:pPr>
            <w:r>
              <w:rPr>
                <w:rFonts w:ascii="Arial" w:cs="Arial" w:eastAsia="Arial" w:hAnsi="Arial"/>
                <w:sz w:val="18"/>
                <w:szCs w:val="18"/>
                <w:color w:val="auto"/>
              </w:rPr>
              <w:t>Less: Premion expenses</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(62,370)</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(49,213)</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Operating expenses, less Premion (non-GAAP basis)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524,175</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512,195</w:t>
            </w:r>
          </w:p>
        </w:tc>
        <w:tc>
          <w:tcPr>
            <w:tcW w:w="0" w:type="dxa"/>
            <w:vAlign w:val="bottom"/>
          </w:tcPr>
          <w:p>
            <w:pPr>
              <w:spacing w:after="0"/>
              <w:rPr>
                <w:sz w:val="1"/>
                <w:szCs w:val="1"/>
                <w:color w:val="auto"/>
              </w:rPr>
            </w:pPr>
          </w:p>
        </w:tc>
      </w:tr>
      <w:tr>
        <w:trPr>
          <w:trHeight w:val="21"/>
        </w:trPr>
        <w:tc>
          <w:tcPr>
            <w:tcW w:w="7000" w:type="dxa"/>
            <w:vAlign w:val="bottom"/>
            <w:vMerge w:val="restart"/>
          </w:tcPr>
          <w:p>
            <w:pPr>
              <w:ind w:left="220"/>
              <w:spacing w:after="0"/>
              <w:rPr>
                <w:sz w:val="20"/>
                <w:szCs w:val="20"/>
                <w:color w:val="auto"/>
              </w:rPr>
            </w:pPr>
            <w:r>
              <w:rPr>
                <w:rFonts w:ascii="Arial" w:cs="Arial" w:eastAsia="Arial" w:hAnsi="Arial"/>
                <w:sz w:val="18"/>
                <w:szCs w:val="18"/>
                <w:color w:val="auto"/>
              </w:rPr>
              <w:t>Less: Programming expenses</w:t>
            </w: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000" w:type="dxa"/>
            <w:vAlign w:val="bottom"/>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(237,992)</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(222,473)</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Operating expenses, less Premion and programming (non-GAAP basis)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286,183</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289,722</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70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Year ended Dec. 31,</w:t>
            </w: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2021</w:t>
            </w:r>
          </w:p>
        </w:tc>
        <w:tc>
          <w:tcPr>
            <w:tcW w:w="0" w:type="dxa"/>
            <w:vAlign w:val="bottom"/>
          </w:tcPr>
          <w:p>
            <w:pPr>
              <w:spacing w:after="0"/>
              <w:rPr>
                <w:sz w:val="1"/>
                <w:szCs w:val="1"/>
                <w:color w:val="auto"/>
              </w:rPr>
            </w:pPr>
          </w:p>
        </w:tc>
      </w:tr>
      <w:tr>
        <w:trPr>
          <w:trHeight w:val="215"/>
        </w:trPr>
        <w:tc>
          <w:tcPr>
            <w:tcW w:w="7000" w:type="dxa"/>
            <w:vAlign w:val="bottom"/>
          </w:tcPr>
          <w:p>
            <w:pPr>
              <w:spacing w:after="0"/>
              <w:rPr>
                <w:sz w:val="20"/>
                <w:szCs w:val="20"/>
                <w:color w:val="auto"/>
              </w:rPr>
            </w:pPr>
            <w:r>
              <w:rPr>
                <w:rFonts w:ascii="Arial" w:cs="Arial" w:eastAsia="Arial" w:hAnsi="Arial"/>
                <w:sz w:val="18"/>
                <w:szCs w:val="18"/>
                <w:color w:val="auto"/>
              </w:rPr>
              <w:t>Operating expenses (GAAP basis)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2,288,613</w:t>
            </w:r>
          </w:p>
        </w:tc>
        <w:tc>
          <w:tcPr>
            <w:tcW w:w="100" w:type="dxa"/>
            <w:vAlign w:val="bottom"/>
          </w:tcPr>
          <w:p>
            <w:pPr>
              <w:spacing w:after="0"/>
              <w:rPr>
                <w:sz w:val="18"/>
                <w:szCs w:val="18"/>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2,188,877</w:t>
            </w:r>
          </w:p>
        </w:tc>
        <w:tc>
          <w:tcPr>
            <w:tcW w:w="0" w:type="dxa"/>
            <w:vAlign w:val="bottom"/>
          </w:tcPr>
          <w:p>
            <w:pPr>
              <w:spacing w:after="0"/>
              <w:rPr>
                <w:sz w:val="1"/>
                <w:szCs w:val="1"/>
                <w:color w:val="auto"/>
              </w:rPr>
            </w:pPr>
          </w:p>
        </w:tc>
      </w:tr>
      <w:tr>
        <w:trPr>
          <w:trHeight w:val="237"/>
        </w:trPr>
        <w:tc>
          <w:tcPr>
            <w:tcW w:w="7000" w:type="dxa"/>
            <w:vAlign w:val="bottom"/>
          </w:tcPr>
          <w:p>
            <w:pPr>
              <w:ind w:left="220"/>
              <w:spacing w:after="0" w:line="237" w:lineRule="exact"/>
              <w:rPr>
                <w:sz w:val="20"/>
                <w:szCs w:val="20"/>
                <w:color w:val="auto"/>
              </w:rPr>
            </w:pPr>
            <w:r>
              <w:rPr>
                <w:rFonts w:ascii="Arial" w:cs="Arial" w:eastAsia="Arial" w:hAnsi="Arial"/>
                <w:sz w:val="18"/>
                <w:szCs w:val="18"/>
                <w:color w:val="auto"/>
              </w:rPr>
              <w:t xml:space="preserve">Less: Special items </w:t>
            </w:r>
            <w:r>
              <w:rPr>
                <w:rFonts w:ascii="Arial" w:cs="Arial" w:eastAsia="Arial" w:hAnsi="Arial"/>
                <w:sz w:val="23"/>
                <w:szCs w:val="23"/>
                <w:color w:val="auto"/>
                <w:vertAlign w:val="superscript"/>
              </w:rPr>
              <w:t>2</w:t>
            </w:r>
          </w:p>
        </w:tc>
        <w:tc>
          <w:tcPr>
            <w:tcW w:w="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(20,194)</w:t>
            </w: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(18,042)</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Operating expenses (non-GAAP basis)</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2,268,419</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2,170,835</w:t>
            </w:r>
          </w:p>
        </w:tc>
        <w:tc>
          <w:tcPr>
            <w:tcW w:w="0" w:type="dxa"/>
            <w:vAlign w:val="bottom"/>
          </w:tcPr>
          <w:p>
            <w:pPr>
              <w:spacing w:after="0"/>
              <w:rPr>
                <w:sz w:val="1"/>
                <w:szCs w:val="1"/>
                <w:color w:val="auto"/>
              </w:rPr>
            </w:pPr>
          </w:p>
        </w:tc>
      </w:tr>
      <w:tr>
        <w:trPr>
          <w:trHeight w:val="223"/>
        </w:trPr>
        <w:tc>
          <w:tcPr>
            <w:tcW w:w="7000" w:type="dxa"/>
            <w:vAlign w:val="bottom"/>
          </w:tcPr>
          <w:p>
            <w:pPr>
              <w:ind w:left="220"/>
              <w:spacing w:after="0"/>
              <w:rPr>
                <w:sz w:val="20"/>
                <w:szCs w:val="20"/>
                <w:color w:val="auto"/>
              </w:rPr>
            </w:pPr>
            <w:r>
              <w:rPr>
                <w:rFonts w:ascii="Arial" w:cs="Arial" w:eastAsia="Arial" w:hAnsi="Arial"/>
                <w:sz w:val="18"/>
                <w:szCs w:val="18"/>
                <w:color w:val="auto"/>
              </w:rPr>
              <w:t>Less: Premion expenses</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(223,679)</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(169,113)</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Operating expenses, less Premion (non-GAAP basis)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2,044,740</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2,001,722</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220"/>
              <w:spacing w:after="0"/>
              <w:rPr>
                <w:sz w:val="20"/>
                <w:szCs w:val="20"/>
                <w:color w:val="auto"/>
              </w:rPr>
            </w:pPr>
            <w:r>
              <w:rPr>
                <w:rFonts w:ascii="Arial" w:cs="Arial" w:eastAsia="Arial" w:hAnsi="Arial"/>
                <w:sz w:val="18"/>
                <w:szCs w:val="18"/>
                <w:color w:val="auto"/>
              </w:rPr>
              <w:t>Less: Programming expenses</w:t>
            </w: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000" w:type="dxa"/>
            <w:vAlign w:val="bottom"/>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(952,225)</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(902,463)</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Operating expenses, less Premion and programming (non-GAAP basis)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1,092,515</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1,099,259</w:t>
            </w:r>
          </w:p>
        </w:tc>
        <w:tc>
          <w:tcPr>
            <w:tcW w:w="0" w:type="dxa"/>
            <w:vAlign w:val="bottom"/>
          </w:tcPr>
          <w:p>
            <w:pPr>
              <w:spacing w:after="0"/>
              <w:rPr>
                <w:sz w:val="1"/>
                <w:szCs w:val="1"/>
                <w:color w:val="auto"/>
              </w:rPr>
            </w:pPr>
          </w:p>
        </w:tc>
      </w:tr>
      <w:tr>
        <w:trPr>
          <w:trHeight w:val="21"/>
        </w:trPr>
        <w:tc>
          <w:tcPr>
            <w:tcW w:w="7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2" w:lineRule="exact"/>
        <w:rPr>
          <w:sz w:val="20"/>
          <w:szCs w:val="20"/>
          <w:color w:val="auto"/>
        </w:rPr>
      </w:pPr>
    </w:p>
    <w:p>
      <w:pPr>
        <w:ind w:left="100" w:hanging="94"/>
        <w:spacing w:after="0"/>
        <w:tabs>
          <w:tab w:leader="none" w:pos="100"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Q4 2022 and Q4 2021 special items include M&amp;A-related costs and reimbursements from the FCC for required spectrum repacking (see Table 2).</w:t>
      </w:r>
    </w:p>
    <w:p>
      <w:pPr>
        <w:spacing w:after="0" w:line="11" w:lineRule="exact"/>
        <w:rPr>
          <w:sz w:val="20"/>
          <w:szCs w:val="20"/>
          <w:color w:val="auto"/>
        </w:rPr>
      </w:pPr>
    </w:p>
    <w:p>
      <w:pPr>
        <w:jc w:val="both"/>
        <w:ind w:right="260" w:firstLine="6"/>
        <w:spacing w:after="0" w:line="209" w:lineRule="auto"/>
        <w:tabs>
          <w:tab w:leader="none" w:pos="97"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Full year 2022 special items include M&amp;A-related costs and reimbursements from the FCC for required spectrum repacking (see Table 2). Full year 2021 special items include advisory fees related to activism defense, M&amp;A-related costs, contract termination fee, write-off of certain fixed assets, and reimbursements from the FCC for required spectrum repacking (see Table 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w:t>
      </w:r>
    </w:p>
    <w:sectPr>
      <w:pgSz w:w="11900" w:h="16838" w:orient="portrait"/>
      <w:cols w:equalWidth="0" w:num="1">
        <w:col w:w="11220"/>
      </w:cols>
      <w:pgMar w:left="340" w:top="9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endash "/>
      <w:numFmt w:val="bullet"/>
      <w:start w:val="1"/>
    </w:lvl>
  </w:abstractNum>
  <w:abstractNum w:abstractNumId="2">
    <w:nsid w:val="79E2A9E3"/>
    <w:multiLevelType w:val="hybridMultilevel"/>
    <w:lvl w:ilvl="0">
      <w:lvlJc w:val="left"/>
      <w:lvlText w:val="•"/>
      <w:numFmt w:val="bullet"/>
      <w:start w:val="1"/>
    </w:lvl>
    <w:lvl w:ilvl="1">
      <w:lvlJc w:val="left"/>
      <w:lvlText w:val="\endash "/>
      <w:numFmt w:val="bullet"/>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
      <w:numFmt w:val="bullet"/>
      <w:start w:val="1"/>
    </w:lvl>
    <w:lvl w:ilvl="1">
      <w:lvlJc w:val="left"/>
      <w:lvlText w:val="\endash "/>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4"/>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6"/>
      <w:numFmt w:val="bullet"/>
      <w:start w:val="1"/>
    </w:lvl>
  </w:abstractNum>
  <w:abstractNum w:abstractNumId="9">
    <w:nsid w:val="1F16E9E8"/>
    <w:multiLevelType w:val="hybridMultilevel"/>
    <w:lvl w:ilvl="0">
      <w:lvlJc w:val="left"/>
      <w:lvlText w:val="7"/>
      <w:numFmt w:val="bullet"/>
      <w:start w:val="1"/>
    </w:lvl>
  </w:abstractNum>
  <w:abstractNum w:abstractNumId="10">
    <w:nsid w:val="1190CDE7"/>
    <w:multiLevelType w:val="hybridMultilevel"/>
    <w:lvl w:ilvl="0">
      <w:lvlJc w:val="left"/>
      <w:lvlText w:val="1"/>
      <w:numFmt w:val="bullet"/>
      <w:start w:val="1"/>
    </w:lvl>
  </w:abstractNum>
  <w:abstractNum w:abstractNumId="11">
    <w:nsid w:val="66EF438D"/>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2023-02-27T07:40:53Z</dcterms:created>
  <dcterms:modified xsi:type="dcterms:W3CDTF">2023-02-27T07:40:53Z</dcterms:modified>
</cp:coreProperties>
</file>